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12" w:rsidRPr="008231B2" w:rsidRDefault="00F56112" w:rsidP="008F329E">
      <w:pPr>
        <w:pStyle w:val="Heading1"/>
        <w:numPr>
          <w:ilvl w:val="0"/>
          <w:numId w:val="0"/>
        </w:numPr>
        <w:ind w:left="720" w:hanging="360"/>
        <w:jc w:val="center"/>
        <w:rPr>
          <w:rFonts w:cs="Arial"/>
          <w:b/>
          <w:color w:val="auto"/>
          <w:sz w:val="32"/>
          <w:u w:val="single"/>
        </w:rPr>
      </w:pPr>
      <w:bookmarkStart w:id="0" w:name="_GoBack"/>
      <w:bookmarkEnd w:id="0"/>
      <w:r w:rsidRPr="008231B2">
        <w:rPr>
          <w:rFonts w:cs="Arial"/>
          <w:b/>
          <w:color w:val="auto"/>
          <w:sz w:val="32"/>
          <w:u w:val="single"/>
        </w:rPr>
        <w:t>ACCIDENTS, INJURIES AND OCCUPATIONAL DISEASES COURSE OUTLINE</w:t>
      </w:r>
    </w:p>
    <w:p w:rsidR="00D46591" w:rsidRDefault="00D46591" w:rsidP="008F329E">
      <w:pPr>
        <w:pStyle w:val="Heading1"/>
        <w:rPr>
          <w:rFonts w:cs="Arial"/>
          <w:color w:val="auto"/>
        </w:rPr>
      </w:pPr>
      <w:r w:rsidRPr="008231B2">
        <w:rPr>
          <w:rFonts w:cs="Arial"/>
          <w:color w:val="auto"/>
        </w:rPr>
        <w:t xml:space="preserve">PHYSICAL INJURIES </w:t>
      </w:r>
    </w:p>
    <w:p w:rsidR="00133A21" w:rsidRPr="00133A21" w:rsidRDefault="00133A21" w:rsidP="00133A21"/>
    <w:p w:rsidR="00D46591" w:rsidRPr="008231B2" w:rsidRDefault="00F537B5" w:rsidP="008F329E">
      <w:pPr>
        <w:pStyle w:val="Heading2"/>
        <w:rPr>
          <w:rFonts w:cs="Arial"/>
          <w:color w:val="auto"/>
        </w:rPr>
      </w:pPr>
      <w:r>
        <w:rPr>
          <w:rFonts w:cs="Arial"/>
          <w:color w:val="auto"/>
        </w:rPr>
        <w:t xml:space="preserve">FS </w:t>
      </w:r>
      <w:r w:rsidRPr="008231B2">
        <w:rPr>
          <w:rFonts w:cs="Arial"/>
          <w:color w:val="auto"/>
        </w:rPr>
        <w:t xml:space="preserve">§ </w:t>
      </w:r>
      <w:r w:rsidR="00E720ED" w:rsidRPr="008231B2">
        <w:rPr>
          <w:rFonts w:cs="Arial"/>
          <w:color w:val="auto"/>
        </w:rPr>
        <w:t>440.02(1) Definition of an accident</w:t>
      </w:r>
      <w:r w:rsidR="00D46591" w:rsidRPr="008231B2">
        <w:rPr>
          <w:rFonts w:cs="Arial"/>
          <w:color w:val="auto"/>
        </w:rPr>
        <w:t>.</w:t>
      </w:r>
    </w:p>
    <w:p w:rsidR="00E720ED" w:rsidRPr="008231B2" w:rsidRDefault="00F537B5" w:rsidP="008F329E">
      <w:pPr>
        <w:pStyle w:val="Heading3"/>
        <w:rPr>
          <w:rFonts w:cs="Arial"/>
          <w:color w:val="auto"/>
        </w:rPr>
      </w:pPr>
      <w:r>
        <w:rPr>
          <w:rFonts w:cs="Arial"/>
          <w:color w:val="auto"/>
        </w:rPr>
        <w:t>FS § 440.02</w:t>
      </w:r>
      <w:r w:rsidR="00A1089E" w:rsidRPr="008231B2">
        <w:rPr>
          <w:rFonts w:cs="Arial"/>
          <w:color w:val="auto"/>
        </w:rPr>
        <w:t xml:space="preserve"> </w:t>
      </w:r>
      <w:r w:rsidR="00E720ED" w:rsidRPr="008231B2">
        <w:rPr>
          <w:rFonts w:cs="Arial"/>
          <w:color w:val="auto"/>
        </w:rPr>
        <w:t>d</w:t>
      </w:r>
      <w:r>
        <w:rPr>
          <w:rFonts w:cs="Arial"/>
          <w:color w:val="auto"/>
        </w:rPr>
        <w:t xml:space="preserve">efines </w:t>
      </w:r>
      <w:r w:rsidR="00A1089E" w:rsidRPr="008231B2">
        <w:rPr>
          <w:rFonts w:cs="Arial"/>
          <w:color w:val="auto"/>
        </w:rPr>
        <w:t xml:space="preserve">“accident” </w:t>
      </w:r>
      <w:r>
        <w:rPr>
          <w:rFonts w:cs="Arial"/>
          <w:color w:val="auto"/>
        </w:rPr>
        <w:t>as</w:t>
      </w:r>
      <w:r w:rsidR="00A1089E" w:rsidRPr="008231B2">
        <w:rPr>
          <w:rFonts w:cs="Arial"/>
          <w:color w:val="auto"/>
        </w:rPr>
        <w:t xml:space="preserve"> only an unexpected or unusual event or result that happens suddenly.</w:t>
      </w:r>
      <w:r w:rsidR="00E720ED" w:rsidRPr="008231B2">
        <w:rPr>
          <w:rFonts w:cs="Arial"/>
          <w:color w:val="auto"/>
        </w:rPr>
        <w:t xml:space="preserve"> The statute explicitly</w:t>
      </w:r>
      <w:r w:rsidR="00A1089E" w:rsidRPr="008231B2">
        <w:rPr>
          <w:rFonts w:cs="Arial"/>
          <w:color w:val="auto"/>
        </w:rPr>
        <w:t xml:space="preserve"> states the follow</w:t>
      </w:r>
      <w:r w:rsidR="00E720ED" w:rsidRPr="008231B2">
        <w:rPr>
          <w:rFonts w:cs="Arial"/>
          <w:color w:val="auto"/>
        </w:rPr>
        <w:t>ing</w:t>
      </w:r>
      <w:r w:rsidR="00A1089E" w:rsidRPr="008231B2">
        <w:rPr>
          <w:rFonts w:cs="Arial"/>
          <w:color w:val="auto"/>
        </w:rPr>
        <w:t xml:space="preserve"> is not an injury by </w:t>
      </w:r>
      <w:r w:rsidR="00E720ED" w:rsidRPr="008231B2">
        <w:rPr>
          <w:rFonts w:cs="Arial"/>
          <w:color w:val="auto"/>
        </w:rPr>
        <w:t>accident: Disability</w:t>
      </w:r>
      <w:r w:rsidR="00A1089E" w:rsidRPr="008231B2">
        <w:rPr>
          <w:rFonts w:cs="Arial"/>
          <w:color w:val="auto"/>
        </w:rPr>
        <w:t xml:space="preserve"> or death due to the accidental acceleration or aggravation of a venereal disease or of a disease due to the habitual use of alcohol or controlled substances or narcotic drugs, or a disease that manifests itself in the fear of or dislike for an individual because of the individual's race, color, religion, sex, national origin, age, or handicap is not an injury by accident arising out of the employment</w:t>
      </w:r>
      <w:r w:rsidR="00E720ED" w:rsidRPr="008231B2">
        <w:rPr>
          <w:rFonts w:cs="Arial"/>
          <w:color w:val="auto"/>
        </w:rPr>
        <w:t xml:space="preserve"> </w:t>
      </w:r>
    </w:p>
    <w:p w:rsidR="00D46591" w:rsidRPr="008231B2" w:rsidRDefault="00E720ED" w:rsidP="008374E2">
      <w:pPr>
        <w:pStyle w:val="Heading3"/>
        <w:numPr>
          <w:ilvl w:val="1"/>
          <w:numId w:val="2"/>
        </w:numPr>
        <w:rPr>
          <w:rFonts w:cs="Arial"/>
          <w:color w:val="auto"/>
        </w:rPr>
      </w:pPr>
      <w:r w:rsidRPr="008231B2">
        <w:rPr>
          <w:rFonts w:cs="Arial"/>
          <w:color w:val="auto"/>
        </w:rPr>
        <w:t xml:space="preserve">An “accident” must actually be accidental. Per </w:t>
      </w:r>
      <w:r w:rsidR="00F537B5">
        <w:rPr>
          <w:rFonts w:cs="Arial"/>
          <w:color w:val="auto"/>
        </w:rPr>
        <w:t xml:space="preserve">FS </w:t>
      </w:r>
      <w:r w:rsidR="00F537B5" w:rsidRPr="008231B2">
        <w:rPr>
          <w:rFonts w:cs="Arial"/>
          <w:color w:val="auto"/>
        </w:rPr>
        <w:t xml:space="preserve">§ </w:t>
      </w:r>
      <w:r w:rsidRPr="008231B2">
        <w:rPr>
          <w:rFonts w:cs="Arial"/>
          <w:color w:val="auto"/>
        </w:rPr>
        <w:t>440.09(3), Florida Statutes, injuries caused by intoxication or by the willful intent of the employee to injure himself or another are not compensable.</w:t>
      </w:r>
    </w:p>
    <w:p w:rsidR="00A1089E" w:rsidRPr="008231B2" w:rsidRDefault="00A1089E" w:rsidP="008F329E">
      <w:pPr>
        <w:rPr>
          <w:rFonts w:ascii="Arial" w:hAnsi="Arial" w:cs="Arial"/>
        </w:rPr>
      </w:pPr>
    </w:p>
    <w:p w:rsidR="00E720ED" w:rsidRPr="008231B2" w:rsidRDefault="00133A21" w:rsidP="008F329E">
      <w:pPr>
        <w:pStyle w:val="Heading2"/>
        <w:rPr>
          <w:rFonts w:cs="Arial"/>
          <w:color w:val="auto"/>
        </w:rPr>
      </w:pPr>
      <w:r>
        <w:rPr>
          <w:rFonts w:cs="Arial"/>
          <w:color w:val="auto"/>
        </w:rPr>
        <w:t xml:space="preserve">FS </w:t>
      </w:r>
      <w:r w:rsidRPr="008231B2">
        <w:rPr>
          <w:rFonts w:cs="Arial"/>
          <w:color w:val="auto"/>
        </w:rPr>
        <w:t xml:space="preserve">§ </w:t>
      </w:r>
      <w:r w:rsidR="00C852CA" w:rsidRPr="008231B2">
        <w:rPr>
          <w:rFonts w:cs="Arial"/>
          <w:color w:val="auto"/>
        </w:rPr>
        <w:t>440.1</w:t>
      </w:r>
      <w:r w:rsidR="00E720ED" w:rsidRPr="008231B2">
        <w:rPr>
          <w:rFonts w:cs="Arial"/>
          <w:color w:val="auto"/>
        </w:rPr>
        <w:t>1 “Exclusiveness of liability.”</w:t>
      </w:r>
      <w:r w:rsidR="00C852CA" w:rsidRPr="008231B2">
        <w:rPr>
          <w:rFonts w:cs="Arial"/>
          <w:color w:val="auto"/>
        </w:rPr>
        <w:t xml:space="preserve"> </w:t>
      </w:r>
    </w:p>
    <w:p w:rsidR="00C852CA" w:rsidRPr="00133A21" w:rsidRDefault="00133A21" w:rsidP="008F329E">
      <w:pPr>
        <w:pStyle w:val="Heading3"/>
        <w:numPr>
          <w:ilvl w:val="0"/>
          <w:numId w:val="23"/>
        </w:numPr>
        <w:rPr>
          <w:rFonts w:cs="Arial"/>
          <w:color w:val="auto"/>
        </w:rPr>
      </w:pPr>
      <w:r>
        <w:rPr>
          <w:rFonts w:cs="Arial"/>
          <w:color w:val="auto"/>
        </w:rPr>
        <w:t xml:space="preserve">FS </w:t>
      </w:r>
      <w:r w:rsidRPr="008231B2">
        <w:rPr>
          <w:rFonts w:cs="Arial"/>
          <w:color w:val="auto"/>
        </w:rPr>
        <w:t>§</w:t>
      </w:r>
      <w:r>
        <w:rPr>
          <w:rFonts w:cs="Arial"/>
          <w:color w:val="auto"/>
        </w:rPr>
        <w:t xml:space="preserve"> 440.11</w:t>
      </w:r>
      <w:r w:rsidRPr="008231B2">
        <w:rPr>
          <w:rFonts w:cs="Arial"/>
          <w:color w:val="auto"/>
        </w:rPr>
        <w:t xml:space="preserve"> </w:t>
      </w:r>
      <w:r w:rsidR="00C852CA" w:rsidRPr="008231B2">
        <w:rPr>
          <w:rFonts w:cs="Arial"/>
          <w:color w:val="auto"/>
        </w:rPr>
        <w:t xml:space="preserve">provides that </w:t>
      </w:r>
      <w:r>
        <w:rPr>
          <w:rFonts w:cs="Arial"/>
          <w:color w:val="auto"/>
        </w:rPr>
        <w:t>workers’</w:t>
      </w:r>
      <w:r w:rsidR="00C852CA" w:rsidRPr="008231B2">
        <w:rPr>
          <w:rFonts w:cs="Arial"/>
          <w:color w:val="auto"/>
        </w:rPr>
        <w:t xml:space="preserve"> </w:t>
      </w:r>
      <w:r w:rsidR="00C852CA" w:rsidRPr="00133A21">
        <w:rPr>
          <w:rFonts w:cs="Arial"/>
          <w:color w:val="auto"/>
        </w:rPr>
        <w:t>compensation is the exclusive remedy available to an injured employee as to any negligence on the pa</w:t>
      </w:r>
      <w:r w:rsidR="00E720ED" w:rsidRPr="00133A21">
        <w:rPr>
          <w:rFonts w:cs="Arial"/>
          <w:color w:val="auto"/>
        </w:rPr>
        <w:t>rt of that employee’s employer.</w:t>
      </w:r>
    </w:p>
    <w:p w:rsidR="00C852CA" w:rsidRPr="00133A21" w:rsidRDefault="00C852CA" w:rsidP="008F329E">
      <w:pPr>
        <w:pStyle w:val="Heading3"/>
        <w:rPr>
          <w:rFonts w:cs="Arial"/>
          <w:color w:val="auto"/>
        </w:rPr>
      </w:pPr>
      <w:r w:rsidRPr="00133A21">
        <w:rPr>
          <w:rFonts w:cs="Arial"/>
          <w:color w:val="auto"/>
        </w:rPr>
        <w:t xml:space="preserve">The exception to this exclusive remedy is in instances of employers engaging in any intentional act that was designed to result in injury or death, or in which is substantially certain to result in the injury or death to the employee. </w:t>
      </w:r>
    </w:p>
    <w:p w:rsidR="00C852CA" w:rsidRPr="008231B2" w:rsidRDefault="00C852CA" w:rsidP="008F329E">
      <w:pPr>
        <w:pStyle w:val="Heading3"/>
        <w:rPr>
          <w:rFonts w:cs="Arial"/>
          <w:color w:val="auto"/>
        </w:rPr>
      </w:pPr>
      <w:r w:rsidRPr="00133A21">
        <w:rPr>
          <w:rFonts w:cs="Arial"/>
          <w:color w:val="auto"/>
        </w:rPr>
        <w:t xml:space="preserve">The goal of </w:t>
      </w:r>
      <w:r w:rsidR="00133A21">
        <w:rPr>
          <w:rFonts w:cs="Arial"/>
          <w:color w:val="auto"/>
        </w:rPr>
        <w:t>workers’</w:t>
      </w:r>
      <w:r w:rsidRPr="00133A21">
        <w:rPr>
          <w:rFonts w:cs="Arial"/>
          <w:color w:val="auto"/>
        </w:rPr>
        <w:t xml:space="preserve"> compensation law is to get benefits to injured</w:t>
      </w:r>
      <w:r w:rsidRPr="008231B2">
        <w:rPr>
          <w:rFonts w:cs="Arial"/>
          <w:color w:val="auto"/>
        </w:rPr>
        <w:t xml:space="preserve"> workers quickly</w:t>
      </w:r>
      <w:r w:rsidR="00133A21">
        <w:rPr>
          <w:rFonts w:cs="Arial"/>
          <w:color w:val="auto"/>
        </w:rPr>
        <w:t>,</w:t>
      </w:r>
      <w:r w:rsidRPr="008231B2">
        <w:rPr>
          <w:rFonts w:cs="Arial"/>
          <w:color w:val="auto"/>
        </w:rPr>
        <w:t xml:space="preserve"> ensuring the worker gets the benefits they need in order to return back to the workforce in some capacity. </w:t>
      </w:r>
    </w:p>
    <w:p w:rsidR="00C852CA" w:rsidRPr="008231B2" w:rsidRDefault="00C852CA" w:rsidP="008F329E">
      <w:pPr>
        <w:pStyle w:val="Heading3"/>
        <w:rPr>
          <w:rFonts w:cs="Arial"/>
          <w:color w:val="auto"/>
        </w:rPr>
      </w:pPr>
      <w:r w:rsidRPr="008231B2">
        <w:rPr>
          <w:rFonts w:cs="Arial"/>
          <w:color w:val="auto"/>
        </w:rPr>
        <w:t xml:space="preserve">The effect of </w:t>
      </w:r>
      <w:r w:rsidR="00133A21">
        <w:rPr>
          <w:rFonts w:cs="Arial"/>
          <w:color w:val="auto"/>
        </w:rPr>
        <w:t>workers’</w:t>
      </w:r>
      <w:r w:rsidRPr="008231B2">
        <w:rPr>
          <w:rFonts w:cs="Arial"/>
          <w:color w:val="auto"/>
        </w:rPr>
        <w:t xml:space="preserve"> compensation law is a compromise between employers and employees, providing prompt benefits to injured workers, regardless of fault, and employees in turn give up their common law rights to sue their employer in tort.</w:t>
      </w:r>
    </w:p>
    <w:p w:rsidR="00C852CA" w:rsidRPr="008231B2" w:rsidRDefault="00C852CA" w:rsidP="008F329E">
      <w:pPr>
        <w:pStyle w:val="Heading3"/>
        <w:rPr>
          <w:rFonts w:cs="Arial"/>
          <w:color w:val="auto"/>
        </w:rPr>
      </w:pPr>
      <w:r w:rsidRPr="008231B2">
        <w:rPr>
          <w:rFonts w:cs="Arial"/>
          <w:color w:val="auto"/>
        </w:rPr>
        <w:lastRenderedPageBreak/>
        <w:t xml:space="preserve">This benefits the employer as it limits the liability on </w:t>
      </w:r>
      <w:r w:rsidR="00133A21">
        <w:rPr>
          <w:rFonts w:cs="Arial"/>
          <w:color w:val="auto"/>
        </w:rPr>
        <w:t xml:space="preserve">part of the employer, caps </w:t>
      </w:r>
      <w:r w:rsidRPr="008231B2">
        <w:rPr>
          <w:rFonts w:cs="Arial"/>
          <w:color w:val="auto"/>
        </w:rPr>
        <w:t xml:space="preserve">the payouts, and an accelerated timeline set by statute to resolve the process quickly. </w:t>
      </w:r>
    </w:p>
    <w:p w:rsidR="00C852CA" w:rsidRDefault="00C852CA" w:rsidP="008F329E">
      <w:pPr>
        <w:rPr>
          <w:rFonts w:ascii="Arial" w:hAnsi="Arial" w:cs="Arial"/>
        </w:rPr>
      </w:pPr>
    </w:p>
    <w:p w:rsidR="00133A21" w:rsidRPr="008231B2" w:rsidRDefault="00133A21" w:rsidP="008F329E">
      <w:pPr>
        <w:rPr>
          <w:rFonts w:ascii="Arial" w:hAnsi="Arial" w:cs="Arial"/>
        </w:rPr>
      </w:pPr>
    </w:p>
    <w:p w:rsidR="0036330A" w:rsidRPr="008231B2" w:rsidRDefault="00D46591" w:rsidP="008F329E">
      <w:pPr>
        <w:pStyle w:val="Heading2"/>
        <w:rPr>
          <w:rFonts w:cs="Arial"/>
          <w:color w:val="auto"/>
        </w:rPr>
      </w:pPr>
      <w:r w:rsidRPr="008231B2">
        <w:rPr>
          <w:rFonts w:cs="Arial"/>
          <w:color w:val="auto"/>
        </w:rPr>
        <w:t>Necessity of medical evidence.</w:t>
      </w:r>
    </w:p>
    <w:p w:rsidR="00667307" w:rsidRPr="008231B2" w:rsidRDefault="00133A21" w:rsidP="00BB08F9">
      <w:pPr>
        <w:pStyle w:val="Heading3"/>
        <w:numPr>
          <w:ilvl w:val="0"/>
          <w:numId w:val="25"/>
        </w:numPr>
        <w:rPr>
          <w:rStyle w:val="Heading3Char"/>
          <w:rFonts w:cs="Arial"/>
          <w:color w:val="auto"/>
        </w:rPr>
      </w:pPr>
      <w:r>
        <w:rPr>
          <w:rFonts w:cs="Arial"/>
          <w:color w:val="auto"/>
        </w:rPr>
        <w:t xml:space="preserve">FS </w:t>
      </w:r>
      <w:r w:rsidRPr="008231B2">
        <w:rPr>
          <w:rFonts w:cs="Arial"/>
          <w:color w:val="auto"/>
        </w:rPr>
        <w:t xml:space="preserve">§ </w:t>
      </w:r>
      <w:r w:rsidR="0036330A" w:rsidRPr="008231B2">
        <w:rPr>
          <w:rStyle w:val="Heading3Char"/>
          <w:rFonts w:eastAsiaTheme="minorHAnsi" w:cs="Arial"/>
          <w:color w:val="auto"/>
        </w:rPr>
        <w:t>440.09 provides “the injury, its occupational cause, and any resulting manifestations or disability must be established to a reasonable degree of medical certainty, based on objective relevant medical findings, and the accidental compensable injury must be the major contributing cause of any resulting injuries.”</w:t>
      </w:r>
    </w:p>
    <w:p w:rsidR="00667307" w:rsidRPr="008231B2" w:rsidRDefault="00CE535F" w:rsidP="00667307">
      <w:pPr>
        <w:pStyle w:val="Heading3"/>
        <w:numPr>
          <w:ilvl w:val="1"/>
          <w:numId w:val="2"/>
        </w:numPr>
        <w:rPr>
          <w:rStyle w:val="text"/>
          <w:rFonts w:cs="Arial"/>
          <w:color w:val="auto"/>
        </w:rPr>
      </w:pPr>
      <w:r w:rsidRPr="008231B2">
        <w:rPr>
          <w:rFonts w:cs="Arial"/>
          <w:color w:val="auto"/>
        </w:rPr>
        <w:t>Although previously undefined by the legislature, the statute now defines major contributing cause as “</w:t>
      </w:r>
      <w:r w:rsidRPr="008231B2">
        <w:rPr>
          <w:rStyle w:val="text"/>
          <w:rFonts w:cs="Arial"/>
          <w:color w:val="auto"/>
        </w:rPr>
        <w:t>the cause which is more than 50 percent responsible for the injury as compared to all other causes combined for which treatment or benefits are sought.”</w:t>
      </w:r>
    </w:p>
    <w:p w:rsidR="00667307" w:rsidRPr="008231B2" w:rsidRDefault="00CE535F" w:rsidP="00BE6125">
      <w:pPr>
        <w:pStyle w:val="Heading3"/>
        <w:rPr>
          <w:rFonts w:cs="Arial"/>
          <w:color w:val="auto"/>
        </w:rPr>
      </w:pPr>
      <w:r w:rsidRPr="008231B2">
        <w:rPr>
          <w:rStyle w:val="text"/>
          <w:rFonts w:cs="Arial"/>
          <w:color w:val="auto"/>
        </w:rPr>
        <w:t>Before the statute was amended to define M</w:t>
      </w:r>
      <w:r w:rsidR="00133A21">
        <w:rPr>
          <w:rStyle w:val="text"/>
          <w:rFonts w:cs="Arial"/>
          <w:color w:val="auto"/>
        </w:rPr>
        <w:t xml:space="preserve">ajor </w:t>
      </w:r>
      <w:r w:rsidRPr="008231B2">
        <w:rPr>
          <w:rStyle w:val="text"/>
          <w:rFonts w:cs="Arial"/>
          <w:color w:val="auto"/>
        </w:rPr>
        <w:t>C</w:t>
      </w:r>
      <w:r w:rsidR="00133A21">
        <w:rPr>
          <w:rStyle w:val="text"/>
          <w:rFonts w:cs="Arial"/>
          <w:color w:val="auto"/>
        </w:rPr>
        <w:t xml:space="preserve">ontributing </w:t>
      </w:r>
      <w:r w:rsidRPr="008231B2">
        <w:rPr>
          <w:rStyle w:val="text"/>
          <w:rFonts w:cs="Arial"/>
          <w:color w:val="auto"/>
        </w:rPr>
        <w:t>C</w:t>
      </w:r>
      <w:r w:rsidR="00133A21">
        <w:rPr>
          <w:rStyle w:val="text"/>
          <w:rFonts w:cs="Arial"/>
          <w:color w:val="auto"/>
        </w:rPr>
        <w:t>ause</w:t>
      </w:r>
      <w:r w:rsidRPr="008231B2">
        <w:rPr>
          <w:rStyle w:val="text"/>
          <w:rFonts w:cs="Arial"/>
          <w:color w:val="auto"/>
        </w:rPr>
        <w:t xml:space="preserve">, </w:t>
      </w:r>
      <w:r w:rsidRPr="00133A21">
        <w:rPr>
          <w:rFonts w:cs="Arial"/>
          <w:iCs/>
          <w:color w:val="auto"/>
          <w:u w:val="single"/>
        </w:rPr>
        <w:t>Closet Maid v. Sykes</w:t>
      </w:r>
      <w:r w:rsidRPr="008231B2">
        <w:rPr>
          <w:rFonts w:cs="Arial"/>
          <w:color w:val="auto"/>
        </w:rPr>
        <w:t>, 736 So. 2d 377 (Fla. 1</w:t>
      </w:r>
      <w:r w:rsidRPr="008231B2">
        <w:rPr>
          <w:rFonts w:cs="Arial"/>
          <w:color w:val="auto"/>
          <w:vertAlign w:val="superscript"/>
        </w:rPr>
        <w:t>st</w:t>
      </w:r>
      <w:r w:rsidR="00133A21">
        <w:rPr>
          <w:rFonts w:cs="Arial"/>
          <w:color w:val="auto"/>
        </w:rPr>
        <w:t xml:space="preserve"> DCA 2000) </w:t>
      </w:r>
      <w:r w:rsidRPr="008231B2">
        <w:rPr>
          <w:rFonts w:cs="Arial"/>
          <w:color w:val="auto"/>
        </w:rPr>
        <w:t>define</w:t>
      </w:r>
      <w:r w:rsidR="00133A21">
        <w:rPr>
          <w:rFonts w:cs="Arial"/>
          <w:color w:val="auto"/>
        </w:rPr>
        <w:t>d</w:t>
      </w:r>
      <w:r w:rsidRPr="008231B2">
        <w:rPr>
          <w:rFonts w:cs="Arial"/>
          <w:color w:val="auto"/>
        </w:rPr>
        <w:t xml:space="preserve"> MCC and establish</w:t>
      </w:r>
      <w:r w:rsidR="00133A21">
        <w:rPr>
          <w:rFonts w:cs="Arial"/>
          <w:color w:val="auto"/>
        </w:rPr>
        <w:t>ed</w:t>
      </w:r>
      <w:r w:rsidRPr="008231B2">
        <w:rPr>
          <w:rFonts w:cs="Arial"/>
          <w:color w:val="auto"/>
        </w:rPr>
        <w:t xml:space="preserve"> </w:t>
      </w:r>
      <w:r w:rsidR="00BB70EC" w:rsidRPr="008231B2">
        <w:rPr>
          <w:rFonts w:cs="Arial"/>
          <w:color w:val="auto"/>
        </w:rPr>
        <w:t xml:space="preserve">when medical evidence is necessary. </w:t>
      </w:r>
    </w:p>
    <w:p w:rsidR="0043256D" w:rsidRPr="008231B2" w:rsidRDefault="00BB70EC" w:rsidP="008064D8">
      <w:pPr>
        <w:pStyle w:val="Heading3"/>
        <w:numPr>
          <w:ilvl w:val="1"/>
          <w:numId w:val="2"/>
        </w:numPr>
        <w:rPr>
          <w:rFonts w:cs="Arial"/>
          <w:color w:val="auto"/>
        </w:rPr>
      </w:pPr>
      <w:r w:rsidRPr="008231B2">
        <w:rPr>
          <w:rFonts w:cs="Arial"/>
          <w:color w:val="auto"/>
        </w:rPr>
        <w:t xml:space="preserve">In </w:t>
      </w:r>
      <w:r w:rsidRPr="008231B2">
        <w:rPr>
          <w:rFonts w:cs="Arial"/>
          <w:i/>
          <w:color w:val="auto"/>
          <w:u w:val="single"/>
        </w:rPr>
        <w:t>Closet Maid</w:t>
      </w:r>
      <w:r w:rsidR="00133A21">
        <w:rPr>
          <w:rFonts w:cs="Arial"/>
          <w:i/>
          <w:color w:val="auto"/>
          <w:u w:val="single"/>
        </w:rPr>
        <w:t>,</w:t>
      </w:r>
      <w:r w:rsidRPr="008231B2">
        <w:rPr>
          <w:rFonts w:cs="Arial"/>
          <w:color w:val="auto"/>
        </w:rPr>
        <w:t xml:space="preserve"> the</w:t>
      </w:r>
      <w:r w:rsidR="00EE6174" w:rsidRPr="008231B2">
        <w:rPr>
          <w:rFonts w:cs="Arial"/>
          <w:color w:val="auto"/>
        </w:rPr>
        <w:t xml:space="preserve"> Claimant worked in the warehouse receiving merchandise for Closet Maid.  One day, while unloading a pallet of boxes, one box fell and struck him on the head.  As a result, the Claimant sustained injuries to his back and neck.  The accident was accepted as compensable.</w:t>
      </w:r>
      <w:r w:rsidRPr="008231B2">
        <w:rPr>
          <w:rFonts w:cs="Arial"/>
          <w:color w:val="auto"/>
        </w:rPr>
        <w:t xml:space="preserve"> </w:t>
      </w:r>
      <w:r w:rsidR="00EE6174" w:rsidRPr="008231B2">
        <w:rPr>
          <w:rFonts w:cs="Arial"/>
          <w:color w:val="auto"/>
        </w:rPr>
        <w:t>After authorizing treatment, medical testing revealed that the Claimant had a pre-existing condition, known as spinal stenosis (or a</w:t>
      </w:r>
      <w:r w:rsidR="00133A21">
        <w:rPr>
          <w:rFonts w:cs="Arial"/>
          <w:color w:val="auto"/>
        </w:rPr>
        <w:t>rthritis of the spinal canal). T</w:t>
      </w:r>
      <w:r w:rsidR="00EE6174" w:rsidRPr="008231B2">
        <w:rPr>
          <w:rFonts w:cs="Arial"/>
          <w:color w:val="auto"/>
        </w:rPr>
        <w:t>he Claimant was not aware of the condition until the industrial accident</w:t>
      </w:r>
      <w:r w:rsidR="00133A21">
        <w:rPr>
          <w:rFonts w:cs="Arial"/>
          <w:color w:val="auto"/>
        </w:rPr>
        <w:t>. Claimant</w:t>
      </w:r>
      <w:r w:rsidR="00EE6174" w:rsidRPr="008231B2">
        <w:rPr>
          <w:rFonts w:cs="Arial"/>
          <w:color w:val="auto"/>
        </w:rPr>
        <w:t xml:space="preserve"> had in fact, worked more than 20 years doing manual labor without significant back pain or disability.</w:t>
      </w:r>
      <w:r w:rsidRPr="008231B2">
        <w:rPr>
          <w:rFonts w:cs="Arial"/>
          <w:color w:val="auto"/>
        </w:rPr>
        <w:t xml:space="preserve"> </w:t>
      </w:r>
      <w:r w:rsidR="00EE6174" w:rsidRPr="008231B2">
        <w:rPr>
          <w:rFonts w:cs="Arial"/>
          <w:color w:val="auto"/>
        </w:rPr>
        <w:t>Following conservative treatment, the authorized treating physician recommended back surgery, which was denied by the Carrier.  Doctor testimony elicited that 75% of the Claimant’s condition and resulting impairment was as a result of the spinal stenosis and 25</w:t>
      </w:r>
      <w:r w:rsidR="00667307" w:rsidRPr="008231B2">
        <w:rPr>
          <w:rFonts w:cs="Arial"/>
          <w:color w:val="auto"/>
        </w:rPr>
        <w:t>% was</w:t>
      </w:r>
      <w:r w:rsidR="00EE6174" w:rsidRPr="008231B2">
        <w:rPr>
          <w:rFonts w:cs="Arial"/>
          <w:color w:val="auto"/>
        </w:rPr>
        <w:t xml:space="preserve"> related to the work accident.  The neurosurgeon also expressed that the Claimant probably would have needed surgery at some point </w:t>
      </w:r>
      <w:r w:rsidR="00EE6174" w:rsidRPr="008231B2">
        <w:rPr>
          <w:rFonts w:cs="Arial"/>
          <w:color w:val="auto"/>
        </w:rPr>
        <w:lastRenderedPageBreak/>
        <w:t xml:space="preserve">in the future even had the work accident not occurred, but could not say when.  He also noted that his current recommendation for </w:t>
      </w:r>
      <w:r w:rsidR="00667307" w:rsidRPr="008231B2">
        <w:rPr>
          <w:rFonts w:cs="Arial"/>
          <w:color w:val="auto"/>
        </w:rPr>
        <w:t>surgery was</w:t>
      </w:r>
      <w:r w:rsidR="00EE6174" w:rsidRPr="008231B2">
        <w:rPr>
          <w:rFonts w:cs="Arial"/>
          <w:color w:val="auto"/>
        </w:rPr>
        <w:t xml:space="preserve"> precipitated by the Claimant’s pain, as resulting from the effects of the accident rather than the deficient spinal </w:t>
      </w:r>
      <w:r w:rsidR="00667307" w:rsidRPr="008231B2">
        <w:rPr>
          <w:rFonts w:cs="Arial"/>
          <w:color w:val="auto"/>
        </w:rPr>
        <w:t>column. Based</w:t>
      </w:r>
      <w:r w:rsidR="00EE6174" w:rsidRPr="008231B2">
        <w:rPr>
          <w:rFonts w:cs="Arial"/>
          <w:color w:val="auto"/>
        </w:rPr>
        <w:t xml:space="preserve"> on the medical findings, the JCC ordered the back surgery, relying on the doctor’s testimony rather than his opinion on major contributing cause</w:t>
      </w:r>
      <w:r w:rsidR="0043256D" w:rsidRPr="008231B2">
        <w:rPr>
          <w:rFonts w:cs="Arial"/>
          <w:color w:val="auto"/>
        </w:rPr>
        <w:t>.</w:t>
      </w:r>
    </w:p>
    <w:p w:rsidR="0043256D" w:rsidRPr="008231B2" w:rsidRDefault="0043256D" w:rsidP="0043256D">
      <w:pPr>
        <w:pStyle w:val="Heading3"/>
        <w:numPr>
          <w:ilvl w:val="1"/>
          <w:numId w:val="2"/>
        </w:numPr>
        <w:rPr>
          <w:rFonts w:cs="Arial"/>
          <w:color w:val="auto"/>
        </w:rPr>
      </w:pPr>
      <w:r w:rsidRPr="008231B2">
        <w:rPr>
          <w:rFonts w:cs="Arial"/>
          <w:color w:val="auto"/>
        </w:rPr>
        <w:t xml:space="preserve">The court concluded that </w:t>
      </w:r>
      <w:r w:rsidR="00133A21">
        <w:rPr>
          <w:rFonts w:cs="Arial"/>
          <w:color w:val="auto"/>
        </w:rPr>
        <w:t xml:space="preserve">FS </w:t>
      </w:r>
      <w:r w:rsidR="00133A21" w:rsidRPr="008231B2">
        <w:rPr>
          <w:rFonts w:cs="Arial"/>
          <w:color w:val="auto"/>
        </w:rPr>
        <w:t xml:space="preserve">§ </w:t>
      </w:r>
      <w:r w:rsidRPr="008231B2">
        <w:rPr>
          <w:rFonts w:cs="Arial"/>
          <w:color w:val="auto"/>
        </w:rPr>
        <w:t xml:space="preserve">440.09 “does not invariably require medical evidence to show that a workplace accident is the major contributing cause of a disability or need for treatment. In some cases, the connection between the accident and the injury may be so clear that it does not require medical proof.” </w:t>
      </w:r>
    </w:p>
    <w:p w:rsidR="006772C6" w:rsidRPr="00133A21" w:rsidRDefault="0043256D" w:rsidP="00247F43">
      <w:pPr>
        <w:pStyle w:val="Heading3"/>
        <w:numPr>
          <w:ilvl w:val="1"/>
          <w:numId w:val="2"/>
        </w:numPr>
        <w:rPr>
          <w:rFonts w:eastAsia="MingLiU-ExtB" w:cs="Arial"/>
          <w:color w:val="auto"/>
        </w:rPr>
      </w:pPr>
      <w:r w:rsidRPr="00133A21">
        <w:rPr>
          <w:rFonts w:cs="Arial"/>
          <w:color w:val="auto"/>
        </w:rPr>
        <w:t xml:space="preserve">However, In contrast, </w:t>
      </w:r>
      <w:r w:rsidR="00133A21" w:rsidRPr="00133A21">
        <w:rPr>
          <w:rFonts w:cs="Arial"/>
          <w:color w:val="auto"/>
        </w:rPr>
        <w:t xml:space="preserve">the court stated </w:t>
      </w:r>
      <w:r w:rsidRPr="00133A21">
        <w:rPr>
          <w:rFonts w:cs="Arial"/>
          <w:color w:val="auto"/>
        </w:rPr>
        <w:t>“medical evidence may be essential when the circumstances do not permit causation to be determined on matters which are susceptible of observation or other sensory perception by lay witnesses. This is often the case with injuries which are not readily observable</w:t>
      </w:r>
      <w:r w:rsidR="00133A21" w:rsidRPr="00133A21">
        <w:rPr>
          <w:rFonts w:cs="Arial"/>
          <w:color w:val="auto"/>
        </w:rPr>
        <w:t>.</w:t>
      </w:r>
      <w:r w:rsidRPr="00133A21">
        <w:rPr>
          <w:rFonts w:cs="Arial"/>
          <w:color w:val="auto"/>
        </w:rPr>
        <w:t>”</w:t>
      </w:r>
      <w:r w:rsidR="00133A21">
        <w:rPr>
          <w:rFonts w:cs="Arial"/>
          <w:color w:val="auto"/>
        </w:rPr>
        <w:t xml:space="preserve"> </w:t>
      </w:r>
      <w:r w:rsidR="006772C6" w:rsidRPr="00133A21">
        <w:rPr>
          <w:rFonts w:cs="Arial"/>
          <w:color w:val="auto"/>
        </w:rPr>
        <w:t>“T</w:t>
      </w:r>
      <w:r w:rsidR="006772C6" w:rsidRPr="00133A21">
        <w:rPr>
          <w:rStyle w:val="cohl"/>
          <w:rFonts w:cs="Arial"/>
          <w:color w:val="auto"/>
        </w:rPr>
        <w:t>his distinction, between situations where medical expertise is essential, and other situations where facts established through lay testimony may establish causation, necessarily depends on the particular circumstances of each case</w:t>
      </w:r>
      <w:r w:rsidR="006772C6" w:rsidRPr="00133A21">
        <w:rPr>
          <w:rFonts w:cs="Arial"/>
          <w:color w:val="auto"/>
        </w:rPr>
        <w:t xml:space="preserve">. </w:t>
      </w:r>
      <w:hyperlink r:id="rId8" w:anchor="co_pp_f1c50000821b0" w:history="1">
        <w:r w:rsidR="006772C6" w:rsidRPr="00133A21">
          <w:rPr>
            <w:rStyle w:val="Hyperlink"/>
            <w:rFonts w:cs="Arial"/>
            <w:color w:val="auto"/>
          </w:rPr>
          <w:t>Section 440.09(1), Florida Statutes</w:t>
        </w:r>
      </w:hyperlink>
      <w:r w:rsidR="006772C6" w:rsidRPr="00133A21">
        <w:rPr>
          <w:rFonts w:cs="Arial"/>
          <w:color w:val="auto"/>
        </w:rPr>
        <w:t xml:space="preserve"> (Supp.1994), does not compel a different approach or</w:t>
      </w:r>
      <w:r w:rsidR="006772C6" w:rsidRPr="00133A21">
        <w:rPr>
          <w:rStyle w:val="cohl"/>
          <w:rFonts w:cs="Arial"/>
          <w:color w:val="auto"/>
        </w:rPr>
        <w:t xml:space="preserve"> alter the long-recognized principle that the cause of a workplace injury may be established by either medical or lay evidenc</w:t>
      </w:r>
      <w:r w:rsidR="006772C6" w:rsidRPr="00133A21">
        <w:rPr>
          <w:rFonts w:cs="Arial"/>
          <w:color w:val="auto"/>
        </w:rPr>
        <w:t>e</w:t>
      </w:r>
      <w:r w:rsidR="00133A21" w:rsidRPr="00133A21">
        <w:rPr>
          <w:rFonts w:cs="Arial"/>
          <w:color w:val="auto"/>
        </w:rPr>
        <w:t>.</w:t>
      </w:r>
      <w:r w:rsidR="006772C6" w:rsidRPr="00133A21">
        <w:rPr>
          <w:rFonts w:cs="Arial"/>
          <w:color w:val="auto"/>
        </w:rPr>
        <w:t>”</w:t>
      </w:r>
    </w:p>
    <w:p w:rsidR="00EE6174" w:rsidRPr="008231B2" w:rsidRDefault="00EE6174" w:rsidP="00BE6125">
      <w:pPr>
        <w:pStyle w:val="Heading3"/>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MingLiU-ExtB" w:cs="Arial"/>
          <w:color w:val="auto"/>
        </w:rPr>
      </w:pPr>
      <w:r w:rsidRPr="008231B2">
        <w:rPr>
          <w:rFonts w:cs="Arial"/>
          <w:color w:val="auto"/>
        </w:rPr>
        <w:t>The First DCA has recognized that a “determination of reasonable medical certainty depends on the substance of the evidence, rather than the use of the ‘reasonable medical certainty’ terminology, or any other so-called ‘magic words,’ by a medical witness” (</w:t>
      </w:r>
      <w:r w:rsidRPr="008231B2">
        <w:rPr>
          <w:rFonts w:cs="Arial"/>
          <w:color w:val="auto"/>
          <w:u w:val="single"/>
        </w:rPr>
        <w:t>quoting</w:t>
      </w:r>
      <w:r w:rsidRPr="008231B2">
        <w:rPr>
          <w:rFonts w:cs="Arial"/>
          <w:color w:val="auto"/>
        </w:rPr>
        <w:t xml:space="preserve"> </w:t>
      </w:r>
      <w:r w:rsidRPr="008231B2">
        <w:rPr>
          <w:rFonts w:cs="Arial"/>
          <w:color w:val="auto"/>
          <w:u w:val="single"/>
        </w:rPr>
        <w:t>Closet Maid v. Sykes</w:t>
      </w:r>
      <w:r w:rsidRPr="008231B2">
        <w:rPr>
          <w:rFonts w:cs="Arial"/>
          <w:color w:val="auto"/>
        </w:rPr>
        <w:t xml:space="preserve">, 763 So. 2d 377, 383 (Fla. 1st DCA 2000)).  Thus, it is not enough for a testifying doctor to simply state that they used a reasonable degree of medical certainty, there must be some kind of substantial evidence to support that statement.         </w:t>
      </w:r>
    </w:p>
    <w:p w:rsidR="00D46591" w:rsidRPr="008231B2" w:rsidRDefault="00D46591" w:rsidP="006772C6">
      <w:pPr>
        <w:pStyle w:val="Heading2"/>
        <w:numPr>
          <w:ilvl w:val="0"/>
          <w:numId w:val="0"/>
        </w:numPr>
        <w:ind w:left="1080"/>
        <w:rPr>
          <w:rFonts w:cs="Arial"/>
          <w:color w:val="auto"/>
        </w:rPr>
      </w:pPr>
    </w:p>
    <w:p w:rsidR="00D46591" w:rsidRPr="008231B2" w:rsidRDefault="00D46591" w:rsidP="008F329E">
      <w:pPr>
        <w:pStyle w:val="Heading2"/>
        <w:rPr>
          <w:rFonts w:cs="Arial"/>
          <w:color w:val="auto"/>
        </w:rPr>
      </w:pPr>
      <w:r w:rsidRPr="008231B2">
        <w:rPr>
          <w:rFonts w:cs="Arial"/>
          <w:color w:val="auto"/>
        </w:rPr>
        <w:t>Repetitive trauma injuries. While not meeting the traditional definition of an accident per Section 440.02, Florida Statutes, repetitive trauma can also constitute a compensable accident and injury</w:t>
      </w:r>
      <w:r w:rsidR="00B67113" w:rsidRPr="008231B2">
        <w:rPr>
          <w:rFonts w:cs="Arial"/>
          <w:color w:val="auto"/>
        </w:rPr>
        <w:t>.</w:t>
      </w:r>
    </w:p>
    <w:p w:rsidR="00530EA3" w:rsidRPr="008231B2" w:rsidRDefault="00530EA3" w:rsidP="008F329E">
      <w:pPr>
        <w:pStyle w:val="Heading3"/>
        <w:numPr>
          <w:ilvl w:val="0"/>
          <w:numId w:val="14"/>
        </w:numPr>
        <w:rPr>
          <w:rFonts w:cs="Arial"/>
          <w:color w:val="auto"/>
          <w:u w:val="single"/>
        </w:rPr>
      </w:pPr>
      <w:r w:rsidRPr="008231B2">
        <w:rPr>
          <w:rFonts w:cs="Arial"/>
          <w:color w:val="auto"/>
        </w:rPr>
        <w:t xml:space="preserve">Exposure and repetitive trivial trauma are compensable events </w:t>
      </w:r>
      <w:r w:rsidR="000509F9">
        <w:rPr>
          <w:rFonts w:cs="Arial"/>
          <w:color w:val="auto"/>
        </w:rPr>
        <w:t>subject to the requirements below.</w:t>
      </w:r>
      <w:r w:rsidRPr="008231B2">
        <w:rPr>
          <w:rFonts w:cs="Arial"/>
          <w:color w:val="auto"/>
        </w:rPr>
        <w:t xml:space="preserve"> The exposure theory of accident “should be applied in cases involving injuries resulting from repeated trauma.”</w:t>
      </w:r>
      <w:r w:rsidRPr="008231B2">
        <w:rPr>
          <w:rFonts w:cs="Arial"/>
          <w:color w:val="auto"/>
          <w:u w:val="single"/>
        </w:rPr>
        <w:t xml:space="preserve"> Festa v. Teleflex, Inc.</w:t>
      </w:r>
      <w:r w:rsidRPr="008231B2">
        <w:rPr>
          <w:rFonts w:cs="Arial"/>
          <w:color w:val="auto"/>
        </w:rPr>
        <w:t xml:space="preserve">, 382 So. 2d 122, 124 (Fla. 1st DCA 1980). In order for a claimant to recover under the exposure theory of accident the claimant must show “1) prolonged exposure, 2) the cumulative effect of which is injury or aggravation of a pre-existing condition and 3) that he has been subjected to a hazard greater than that to which the general public is exposed.” </w:t>
      </w:r>
      <w:r w:rsidRPr="008231B2">
        <w:rPr>
          <w:rFonts w:cs="Arial"/>
          <w:color w:val="auto"/>
          <w:u w:val="single"/>
        </w:rPr>
        <w:t>Id.</w:t>
      </w:r>
      <w:r w:rsidRPr="008231B2">
        <w:rPr>
          <w:rFonts w:cs="Arial"/>
          <w:color w:val="auto"/>
        </w:rPr>
        <w:t xml:space="preserve"> Alternatively, claimant can also recover under the exposure theory if claimant can “demonstrate a series of occurrences, the cumulative effect of which is injury”. </w:t>
      </w:r>
      <w:r w:rsidRPr="008231B2">
        <w:rPr>
          <w:rFonts w:cs="Arial"/>
          <w:color w:val="auto"/>
          <w:u w:val="single"/>
        </w:rPr>
        <w:t>Id.</w:t>
      </w:r>
      <w:r w:rsidRPr="008231B2">
        <w:rPr>
          <w:rFonts w:cs="Arial"/>
          <w:color w:val="auto"/>
        </w:rPr>
        <w:t xml:space="preserve"> </w:t>
      </w:r>
    </w:p>
    <w:p w:rsidR="00530EA3" w:rsidRPr="008231B2" w:rsidRDefault="00530EA3" w:rsidP="000509F9">
      <w:pPr>
        <w:pStyle w:val="Heading3"/>
      </w:pPr>
      <w:r w:rsidRPr="000509F9">
        <w:t>Under</w:t>
      </w:r>
      <w:r w:rsidRPr="008231B2">
        <w:t xml:space="preserve"> the first prong of the </w:t>
      </w:r>
      <w:r w:rsidRPr="008231B2">
        <w:rPr>
          <w:i/>
        </w:rPr>
        <w:t>Festa</w:t>
      </w:r>
      <w:r w:rsidRPr="008231B2">
        <w:t xml:space="preserve"> Test claimant must show prolonged exposure. The courts have found almost any period will suffice. In J &amp; J Enterprises v. Oweis, 733 So. 2d 1149 (Fla. 1st DCA 1999) claimant worked for the employer only two weeks before experiencing symptoms, to which the appellant contested the applicability of Festa for such a short timeframe. The court stated “..</w:t>
      </w:r>
      <w:r w:rsidRPr="008231B2">
        <w:rPr>
          <w:i/>
        </w:rPr>
        <w:t>Festa</w:t>
      </w:r>
      <w:r w:rsidRPr="008231B2">
        <w:t xml:space="preserve"> does not impose a minimum temporal threshold, and the time here involved will suffice for both </w:t>
      </w:r>
      <w:r w:rsidRPr="008231B2">
        <w:rPr>
          <w:i/>
        </w:rPr>
        <w:t>Festa</w:t>
      </w:r>
      <w:r w:rsidRPr="008231B2">
        <w:t xml:space="preserve"> alternatives of “prolonged exposure” and “series of occurrences,” insofar as the evidence establishes that the injury ensued from the claimant's workplace activity.” Id.</w:t>
      </w:r>
    </w:p>
    <w:p w:rsidR="00530EA3" w:rsidRPr="008231B2" w:rsidRDefault="00530EA3" w:rsidP="008F329E">
      <w:pPr>
        <w:pStyle w:val="Heading3"/>
        <w:rPr>
          <w:rFonts w:cs="Arial"/>
          <w:color w:val="auto"/>
        </w:rPr>
      </w:pPr>
      <w:r w:rsidRPr="008231B2">
        <w:rPr>
          <w:rFonts w:cs="Arial"/>
          <w:color w:val="auto"/>
        </w:rPr>
        <w:t xml:space="preserve">Under the second prong of the </w:t>
      </w:r>
      <w:r w:rsidRPr="008231B2">
        <w:rPr>
          <w:rFonts w:cs="Arial"/>
          <w:i/>
          <w:color w:val="auto"/>
        </w:rPr>
        <w:t xml:space="preserve">Festa </w:t>
      </w:r>
      <w:r w:rsidRPr="008231B2">
        <w:rPr>
          <w:rFonts w:cs="Arial"/>
          <w:color w:val="auto"/>
        </w:rPr>
        <w:t>test</w:t>
      </w:r>
      <w:r w:rsidRPr="008231B2">
        <w:rPr>
          <w:rFonts w:cs="Arial"/>
          <w:i/>
          <w:color w:val="auto"/>
        </w:rPr>
        <w:t xml:space="preserve"> </w:t>
      </w:r>
      <w:r w:rsidRPr="008231B2">
        <w:rPr>
          <w:rFonts w:cs="Arial"/>
          <w:color w:val="auto"/>
        </w:rPr>
        <w:t xml:space="preserve">claimant must show the cumulative effect of (exposure) which is injury or aggravation of a pre-existing condition. In order for a claimant to prove a “cumulative effect” requires evidence that the respective trauma was a regular aspect of his employment, and then prove that the repetitive trauma caused claimant’s injury. In </w:t>
      </w:r>
      <w:r w:rsidRPr="008231B2">
        <w:rPr>
          <w:rFonts w:cs="Arial"/>
          <w:color w:val="auto"/>
          <w:u w:val="single"/>
        </w:rPr>
        <w:t>Simmons v. Fairchild Indus</w:t>
      </w:r>
      <w:r w:rsidRPr="008231B2">
        <w:rPr>
          <w:rFonts w:cs="Arial"/>
          <w:color w:val="auto"/>
        </w:rPr>
        <w:t xml:space="preserve">., 477 So. 2d 60 (Fla. 1st DCA 1985), claimant suffered a back injury, saw multiple physicians, and none of the physicians related the condition to claimant’s employment, deputy found no causal relationship had been established. The court held that claimant failed to provide evidence “that heavy lifting was a frequent or even regular aspect of his </w:t>
      </w:r>
      <w:r w:rsidRPr="008231B2">
        <w:rPr>
          <w:rFonts w:cs="Arial"/>
          <w:color w:val="auto"/>
        </w:rPr>
        <w:lastRenderedPageBreak/>
        <w:t xml:space="preserve">employment, and no medical testimony demonstrated that the lifting which he did perform resulted in the injury to his back”. </w:t>
      </w:r>
      <w:r w:rsidRPr="008231B2">
        <w:rPr>
          <w:rFonts w:cs="Arial"/>
          <w:color w:val="auto"/>
          <w:u w:val="single"/>
        </w:rPr>
        <w:t>Id.</w:t>
      </w:r>
    </w:p>
    <w:p w:rsidR="00530EA3" w:rsidRPr="008231B2" w:rsidRDefault="00530EA3" w:rsidP="008F329E">
      <w:pPr>
        <w:pStyle w:val="Heading3"/>
        <w:rPr>
          <w:rFonts w:cs="Arial"/>
          <w:color w:val="auto"/>
        </w:rPr>
      </w:pPr>
      <w:r w:rsidRPr="008231B2">
        <w:rPr>
          <w:rFonts w:cs="Arial"/>
          <w:color w:val="auto"/>
        </w:rPr>
        <w:t xml:space="preserve">Under the third prong of the </w:t>
      </w:r>
      <w:r w:rsidRPr="008231B2">
        <w:rPr>
          <w:rFonts w:cs="Arial"/>
          <w:i/>
          <w:color w:val="auto"/>
        </w:rPr>
        <w:t>Festa</w:t>
      </w:r>
      <w:r w:rsidRPr="008231B2">
        <w:rPr>
          <w:rFonts w:cs="Arial"/>
          <w:color w:val="auto"/>
        </w:rPr>
        <w:t xml:space="preserve"> test claimant must show the hazard causing the repetitive trauma is a hazard that is greater than those faced by the public. “The “hazard” prong of the </w:t>
      </w:r>
      <w:r w:rsidRPr="008231B2">
        <w:rPr>
          <w:rFonts w:cs="Arial"/>
          <w:i/>
          <w:iCs/>
          <w:color w:val="auto"/>
        </w:rPr>
        <w:t>Festa</w:t>
      </w:r>
      <w:r w:rsidRPr="008231B2">
        <w:rPr>
          <w:rFonts w:cs="Arial"/>
          <w:color w:val="auto"/>
        </w:rPr>
        <w:t xml:space="preserve"> test does not require a claimant to show that he or she was subjected to a condition unique to his employment, but rather that his workplace exposure to that condition is materially in excess of that undergone by the general public.” </w:t>
      </w:r>
      <w:r w:rsidRPr="008231B2">
        <w:rPr>
          <w:rFonts w:cs="Arial"/>
          <w:color w:val="auto"/>
          <w:u w:val="single"/>
        </w:rPr>
        <w:t>Sewell v. J.C. Penney</w:t>
      </w:r>
      <w:r w:rsidRPr="008231B2">
        <w:rPr>
          <w:rFonts w:cs="Arial"/>
          <w:color w:val="auto"/>
        </w:rPr>
        <w:t xml:space="preserve">, 569 So. 2d 1335, 1336 (Fla. 1st DCA 1990). In </w:t>
      </w:r>
      <w:r w:rsidRPr="008231B2">
        <w:rPr>
          <w:rFonts w:cs="Arial"/>
          <w:i/>
          <w:color w:val="auto"/>
        </w:rPr>
        <w:t>Sewell</w:t>
      </w:r>
      <w:r w:rsidRPr="008231B2">
        <w:rPr>
          <w:rFonts w:cs="Arial"/>
          <w:color w:val="auto"/>
        </w:rPr>
        <w:t xml:space="preserve">, the court found that exposure to air condition and hard flooring is common to the general public, however the court pointed to additional facts about the exposure and stated claimant was “exposed to “very cold” air conditioning and standing on hard flooring, in combination, for the entirety of her work day. Further, working constantly with arms elevated above shoulder level clearly exceeds the performance of such movement by the general public.” </w:t>
      </w:r>
      <w:r w:rsidRPr="008231B2">
        <w:rPr>
          <w:rFonts w:cs="Arial"/>
          <w:color w:val="auto"/>
          <w:u w:val="single"/>
        </w:rPr>
        <w:t>Id.</w:t>
      </w:r>
      <w:r w:rsidRPr="008231B2">
        <w:rPr>
          <w:rFonts w:cs="Arial"/>
          <w:color w:val="auto"/>
        </w:rPr>
        <w:t xml:space="preserve"> The practical effect is that when defending against these claims the defense should offer some contradictory evidence showing that the claimant’s hazards are quite typical and usual. </w:t>
      </w:r>
    </w:p>
    <w:p w:rsidR="00530EA3" w:rsidRPr="008231B2" w:rsidRDefault="00530EA3" w:rsidP="008F329E">
      <w:pPr>
        <w:pStyle w:val="Heading3"/>
        <w:rPr>
          <w:rFonts w:cs="Arial"/>
          <w:color w:val="auto"/>
          <w:u w:val="single"/>
        </w:rPr>
      </w:pPr>
      <w:r w:rsidRPr="008231B2">
        <w:rPr>
          <w:rFonts w:cs="Arial"/>
          <w:color w:val="auto"/>
        </w:rPr>
        <w:t xml:space="preserve">Under the alternative </w:t>
      </w:r>
      <w:r w:rsidRPr="008231B2">
        <w:rPr>
          <w:rFonts w:cs="Arial"/>
          <w:i/>
          <w:color w:val="auto"/>
        </w:rPr>
        <w:t xml:space="preserve">Festa </w:t>
      </w:r>
      <w:r w:rsidRPr="008231B2">
        <w:rPr>
          <w:rFonts w:cs="Arial"/>
          <w:color w:val="auto"/>
        </w:rPr>
        <w:t xml:space="preserve">test, in order for the claimant to meet the burden of proof “…the claimant must demonstrate a series of occurrences, the cumulative effect of which is the injury, the claimant is not required to show, in addition, that he has been subjected to a hazard greater than that to which the general public is exposed.” </w:t>
      </w:r>
      <w:r w:rsidRPr="008231B2">
        <w:rPr>
          <w:rFonts w:cs="Arial"/>
          <w:color w:val="auto"/>
          <w:u w:val="single"/>
        </w:rPr>
        <w:t>Rodriguez v. Frito-Lay, Inc.</w:t>
      </w:r>
      <w:r w:rsidRPr="008231B2">
        <w:rPr>
          <w:rFonts w:cs="Arial"/>
          <w:color w:val="auto"/>
        </w:rPr>
        <w:t xml:space="preserve">, 600 So. 2d 1167, 1172 (Fla. 1st DCA 1992). If claimant can show that a series of workplace tasks had the cumulative effect of causing an injury, then claimant still has a compensable claim, without needing to show claimant has been subjected to a hazard greater than that to which the general public is exposed. In </w:t>
      </w:r>
      <w:hyperlink r:id="rId9" w:history="1">
        <w:r w:rsidRPr="008231B2">
          <w:rPr>
            <w:rStyle w:val="Hyperlink"/>
            <w:rFonts w:cs="Arial"/>
            <w:color w:val="auto"/>
          </w:rPr>
          <w:t>Winn-Dixie Stores v. Morgan, 533 So. 2d 783 (Fla. 1st DCA 1988)</w:t>
        </w:r>
      </w:hyperlink>
      <w:r w:rsidRPr="008231B2">
        <w:rPr>
          <w:rFonts w:cs="Arial"/>
          <w:color w:val="auto"/>
        </w:rPr>
        <w:t xml:space="preserve">, the claimant was an employee of Winn-Dixie for 13 years, and claimant’s tasks included stocking shelves, bagging groceries, unloading trucks, moving carts of frozen foods, and cleaning and stocking produce. Claimant was injured while opening the store safe. The court found claimant’s injury compensable under the alternative theory, stating they found competent substantial evidence in the record (the medical evidence) led the deputy to conclude that the </w:t>
      </w:r>
      <w:r w:rsidRPr="008231B2">
        <w:rPr>
          <w:rFonts w:cs="Arial"/>
          <w:color w:val="auto"/>
        </w:rPr>
        <w:lastRenderedPageBreak/>
        <w:t>work performed by the claimant led to the development of his Kienbock’s disease, and found claimant injury compensable under the alternative test.</w:t>
      </w:r>
    </w:p>
    <w:p w:rsidR="00530EA3" w:rsidRPr="008231B2" w:rsidRDefault="00530EA3" w:rsidP="008F329E">
      <w:pPr>
        <w:pStyle w:val="Heading3"/>
        <w:rPr>
          <w:rFonts w:cs="Arial"/>
          <w:color w:val="auto"/>
          <w:u w:val="single"/>
        </w:rPr>
      </w:pPr>
      <w:r w:rsidRPr="008231B2">
        <w:rPr>
          <w:rFonts w:cs="Arial"/>
          <w:color w:val="auto"/>
        </w:rPr>
        <w:t>In cases where there is a pre-existing condition an additional factor is required to be met, claimant must prove that his preexisting condition was either exacerbated by a non-routine and job related physical exertion or by some form of repeated physical trauma, and still need to prove major contributing cause. The Supreme Court of Florida added this additional factor to ensure injuries caused by or aggrav</w:t>
      </w:r>
      <w:r w:rsidR="000509F9">
        <w:rPr>
          <w:rFonts w:cs="Arial"/>
          <w:color w:val="auto"/>
        </w:rPr>
        <w:t>ated by stress non compensable.</w:t>
      </w:r>
    </w:p>
    <w:p w:rsidR="00DD70D3" w:rsidRDefault="00DD70D3">
      <w:pPr>
        <w:rPr>
          <w:rFonts w:ascii="Arial" w:hAnsi="Arial" w:cs="Arial"/>
        </w:rPr>
      </w:pPr>
      <w:r>
        <w:rPr>
          <w:rFonts w:ascii="Arial" w:hAnsi="Arial" w:cs="Arial"/>
        </w:rPr>
        <w:br w:type="page"/>
      </w:r>
    </w:p>
    <w:p w:rsidR="00D46591" w:rsidRDefault="00D46591" w:rsidP="008F329E">
      <w:pPr>
        <w:pStyle w:val="Heading1"/>
        <w:rPr>
          <w:rFonts w:cs="Arial"/>
          <w:color w:val="auto"/>
        </w:rPr>
      </w:pPr>
      <w:r w:rsidRPr="008231B2">
        <w:rPr>
          <w:rFonts w:cs="Arial"/>
          <w:color w:val="auto"/>
        </w:rPr>
        <w:lastRenderedPageBreak/>
        <w:t>MENTAL INJURIES</w:t>
      </w:r>
    </w:p>
    <w:p w:rsidR="000509F9" w:rsidRPr="000509F9" w:rsidRDefault="000509F9" w:rsidP="000509F9"/>
    <w:p w:rsidR="00D46591" w:rsidRPr="008231B2" w:rsidRDefault="00D46591" w:rsidP="008F329E">
      <w:pPr>
        <w:pStyle w:val="Heading2"/>
        <w:numPr>
          <w:ilvl w:val="0"/>
          <w:numId w:val="6"/>
        </w:numPr>
        <w:rPr>
          <w:rFonts w:cs="Arial"/>
          <w:color w:val="auto"/>
        </w:rPr>
      </w:pPr>
      <w:r w:rsidRPr="008231B2">
        <w:rPr>
          <w:rFonts w:cs="Arial"/>
          <w:color w:val="auto"/>
        </w:rPr>
        <w:t>Statutory requirements for a mental or nervous injury as set out in</w:t>
      </w:r>
      <w:r w:rsidR="00F56112" w:rsidRPr="008231B2">
        <w:rPr>
          <w:rFonts w:cs="Arial"/>
          <w:color w:val="auto"/>
        </w:rPr>
        <w:t xml:space="preserve"> </w:t>
      </w:r>
      <w:r w:rsidR="000509F9">
        <w:rPr>
          <w:rFonts w:cs="Arial"/>
          <w:color w:val="auto"/>
        </w:rPr>
        <w:t xml:space="preserve">       FS </w:t>
      </w:r>
      <w:r w:rsidR="000509F9" w:rsidRPr="008231B2">
        <w:rPr>
          <w:rFonts w:cs="Arial"/>
          <w:color w:val="auto"/>
        </w:rPr>
        <w:t xml:space="preserve">§ </w:t>
      </w:r>
      <w:r w:rsidRPr="008231B2">
        <w:rPr>
          <w:rFonts w:cs="Arial"/>
          <w:color w:val="auto"/>
        </w:rPr>
        <w:t>440.093.</w:t>
      </w:r>
    </w:p>
    <w:p w:rsidR="00B561A6" w:rsidRPr="008231B2" w:rsidRDefault="00B561A6" w:rsidP="00B561A6">
      <w:pPr>
        <w:pStyle w:val="Heading3"/>
        <w:numPr>
          <w:ilvl w:val="0"/>
          <w:numId w:val="7"/>
        </w:numPr>
        <w:rPr>
          <w:rFonts w:cs="Arial"/>
          <w:color w:val="auto"/>
        </w:rPr>
      </w:pPr>
      <w:r w:rsidRPr="008231B2">
        <w:rPr>
          <w:rFonts w:cs="Arial"/>
          <w:color w:val="auto"/>
        </w:rPr>
        <w:t xml:space="preserve">Per </w:t>
      </w:r>
      <w:r w:rsidR="00A37DEF">
        <w:rPr>
          <w:rFonts w:cs="Arial"/>
          <w:color w:val="auto"/>
        </w:rPr>
        <w:t xml:space="preserve">FS </w:t>
      </w:r>
      <w:r w:rsidR="00A37DEF" w:rsidRPr="008231B2">
        <w:rPr>
          <w:rFonts w:cs="Arial"/>
          <w:color w:val="auto"/>
        </w:rPr>
        <w:t xml:space="preserve">§ </w:t>
      </w:r>
      <w:r w:rsidRPr="008231B2">
        <w:rPr>
          <w:rFonts w:cs="Arial"/>
          <w:color w:val="auto"/>
        </w:rPr>
        <w:t xml:space="preserve">440.093 </w:t>
      </w:r>
      <w:r w:rsidR="00D46591" w:rsidRPr="008231B2">
        <w:rPr>
          <w:rFonts w:cs="Arial"/>
          <w:color w:val="auto"/>
        </w:rPr>
        <w:t>“</w:t>
      </w:r>
      <w:r w:rsidRPr="008231B2">
        <w:rPr>
          <w:rFonts w:cs="Arial"/>
          <w:color w:val="auto"/>
        </w:rPr>
        <w:t>A mental or nervous injury due to stress, fright, or excitement only is not an injury by accident arising out of the employment. Nothing in this section shall be construed to allow for the payment of benefits under this chapter for mental or nervous injuries without an accompanying physical injury requiring medical treatment. A physical injury resulting from mental or nervous injuries unaccompanied by physical trauma requiring medical treatment shall not be compensable under this chapter.</w:t>
      </w:r>
      <w:r w:rsidR="00A37DEF">
        <w:rPr>
          <w:rFonts w:cs="Arial"/>
          <w:color w:val="auto"/>
        </w:rPr>
        <w:t>”</w:t>
      </w:r>
    </w:p>
    <w:p w:rsidR="00B561A6" w:rsidRPr="008231B2" w:rsidRDefault="00D46591" w:rsidP="00B561A6">
      <w:pPr>
        <w:pStyle w:val="Heading3"/>
        <w:numPr>
          <w:ilvl w:val="0"/>
          <w:numId w:val="7"/>
        </w:numPr>
        <w:rPr>
          <w:rFonts w:cs="Arial"/>
          <w:color w:val="auto"/>
        </w:rPr>
      </w:pPr>
      <w:r w:rsidRPr="008231B2">
        <w:rPr>
          <w:rFonts w:cs="Arial"/>
          <w:color w:val="auto"/>
        </w:rPr>
        <w:t>Mental or nervous injuries must be demonstrated by clear and</w:t>
      </w:r>
      <w:r w:rsidR="00F56112" w:rsidRPr="008231B2">
        <w:rPr>
          <w:rFonts w:cs="Arial"/>
          <w:color w:val="auto"/>
        </w:rPr>
        <w:t xml:space="preserve"> </w:t>
      </w:r>
      <w:r w:rsidRPr="008231B2">
        <w:rPr>
          <w:rFonts w:cs="Arial"/>
          <w:color w:val="auto"/>
        </w:rPr>
        <w:t>convincing medical evidence by a licensed psychiatrist.</w:t>
      </w:r>
    </w:p>
    <w:p w:rsidR="00B561A6" w:rsidRDefault="00B561A6" w:rsidP="00B561A6">
      <w:pPr>
        <w:pStyle w:val="Heading3"/>
        <w:rPr>
          <w:rFonts w:cs="Arial"/>
          <w:color w:val="auto"/>
        </w:rPr>
      </w:pPr>
      <w:r w:rsidRPr="008231B2">
        <w:rPr>
          <w:rFonts w:cs="Arial"/>
          <w:color w:val="auto"/>
        </w:rPr>
        <w:t xml:space="preserve">For major contributing cause </w:t>
      </w:r>
      <w:r w:rsidR="00A37DEF">
        <w:rPr>
          <w:rFonts w:cs="Arial"/>
          <w:color w:val="auto"/>
        </w:rPr>
        <w:t xml:space="preserve">FS </w:t>
      </w:r>
      <w:r w:rsidR="00A37DEF" w:rsidRPr="008231B2">
        <w:rPr>
          <w:rFonts w:cs="Arial"/>
          <w:color w:val="auto"/>
        </w:rPr>
        <w:t xml:space="preserve">§ </w:t>
      </w:r>
      <w:r w:rsidRPr="008231B2">
        <w:rPr>
          <w:rFonts w:cs="Arial"/>
          <w:color w:val="auto"/>
        </w:rPr>
        <w:t>440.093 provides that “The compensable physical injury must be and remain the major contributing cause of the mental or nervous condition and the compensable physical injury as determined by reasonable medical certainty must be at least 50 percent responsible for the mental or nervous condition as compared to all other contributing causes combined</w:t>
      </w:r>
      <w:r w:rsidR="00A37DEF">
        <w:rPr>
          <w:rFonts w:cs="Arial"/>
          <w:color w:val="auto"/>
        </w:rPr>
        <w:t>.</w:t>
      </w:r>
      <w:r w:rsidRPr="008231B2">
        <w:rPr>
          <w:rFonts w:cs="Arial"/>
          <w:color w:val="auto"/>
        </w:rPr>
        <w:t>”</w:t>
      </w:r>
    </w:p>
    <w:p w:rsidR="000509F9" w:rsidRPr="000509F9" w:rsidRDefault="000509F9" w:rsidP="000509F9"/>
    <w:p w:rsidR="00C852CA" w:rsidRPr="008231B2" w:rsidRDefault="00A37DEF" w:rsidP="008F329E">
      <w:pPr>
        <w:pStyle w:val="Heading2"/>
        <w:rPr>
          <w:rFonts w:eastAsia="Times New Roman" w:cs="Arial"/>
          <w:color w:val="auto"/>
        </w:rPr>
      </w:pPr>
      <w:r>
        <w:rPr>
          <w:rFonts w:cs="Arial"/>
          <w:color w:val="auto"/>
        </w:rPr>
        <w:t xml:space="preserve">FS </w:t>
      </w:r>
      <w:r w:rsidRPr="008231B2">
        <w:rPr>
          <w:rFonts w:cs="Arial"/>
          <w:color w:val="auto"/>
        </w:rPr>
        <w:t xml:space="preserve">§ </w:t>
      </w:r>
      <w:r w:rsidR="00B561A6" w:rsidRPr="008231B2">
        <w:rPr>
          <w:rFonts w:eastAsia="Times New Roman" w:cs="Arial"/>
          <w:color w:val="auto"/>
        </w:rPr>
        <w:t>440.093 as modified by McIntosh v. CVS Pharmacy</w:t>
      </w:r>
    </w:p>
    <w:p w:rsidR="00C852CA" w:rsidRPr="008231B2" w:rsidRDefault="00C852CA" w:rsidP="008F329E">
      <w:pPr>
        <w:pStyle w:val="Heading3"/>
        <w:numPr>
          <w:ilvl w:val="0"/>
          <w:numId w:val="19"/>
        </w:numPr>
        <w:rPr>
          <w:rFonts w:eastAsia="Times New Roman" w:cs="Arial"/>
          <w:color w:val="auto"/>
        </w:rPr>
      </w:pPr>
      <w:r w:rsidRPr="008231B2">
        <w:rPr>
          <w:rFonts w:eastAsia="Times New Roman" w:cs="Arial"/>
          <w:color w:val="auto"/>
        </w:rPr>
        <w:t xml:space="preserve">The apparent clear meaning of </w:t>
      </w:r>
      <w:r w:rsidR="00A37DEF">
        <w:rPr>
          <w:rFonts w:cs="Arial"/>
          <w:color w:val="auto"/>
        </w:rPr>
        <w:t xml:space="preserve">FS </w:t>
      </w:r>
      <w:r w:rsidR="00A37DEF" w:rsidRPr="008231B2">
        <w:rPr>
          <w:rFonts w:cs="Arial"/>
          <w:color w:val="auto"/>
        </w:rPr>
        <w:t xml:space="preserve">§ </w:t>
      </w:r>
      <w:r w:rsidRPr="008231B2">
        <w:rPr>
          <w:rFonts w:eastAsia="Times New Roman" w:cs="Arial"/>
          <w:color w:val="auto"/>
        </w:rPr>
        <w:t xml:space="preserve">440.093 has been modified by the First DCA in </w:t>
      </w:r>
      <w:r w:rsidRPr="008231B2">
        <w:rPr>
          <w:rFonts w:eastAsia="Times New Roman" w:cs="Arial"/>
          <w:color w:val="auto"/>
          <w:u w:val="single"/>
        </w:rPr>
        <w:t>McIntosh v. CVS Pharmacy</w:t>
      </w:r>
      <w:r w:rsidRPr="008231B2">
        <w:rPr>
          <w:rFonts w:eastAsia="Times New Roman" w:cs="Arial"/>
          <w:color w:val="auto"/>
        </w:rPr>
        <w:t xml:space="preserve">, 135 So. 3d 1157 (Fla. 1st DCA 2014), the court found the law makes compensable those situations where, as a result of the compensable accident, the claimant suffers two injuries: both a physical injury and a mental injury. </w:t>
      </w:r>
    </w:p>
    <w:p w:rsidR="00C852CA" w:rsidRPr="008231B2" w:rsidRDefault="00C852CA" w:rsidP="008F329E">
      <w:pPr>
        <w:pStyle w:val="ListParagraph"/>
        <w:numPr>
          <w:ilvl w:val="2"/>
          <w:numId w:val="17"/>
        </w:numPr>
        <w:spacing w:after="0" w:line="240" w:lineRule="auto"/>
        <w:rPr>
          <w:rStyle w:val="Heading3Char"/>
          <w:rFonts w:cs="Arial"/>
          <w:color w:val="auto"/>
        </w:rPr>
      </w:pPr>
      <w:r w:rsidRPr="008231B2">
        <w:rPr>
          <w:rStyle w:val="Heading3Char"/>
          <w:rFonts w:cs="Arial"/>
          <w:color w:val="auto"/>
        </w:rPr>
        <w:t>Physical trauma must require medical care;</w:t>
      </w:r>
    </w:p>
    <w:p w:rsidR="00C852CA" w:rsidRPr="008231B2" w:rsidRDefault="00C852CA" w:rsidP="008F329E">
      <w:pPr>
        <w:pStyle w:val="ListParagraph"/>
        <w:numPr>
          <w:ilvl w:val="2"/>
          <w:numId w:val="17"/>
        </w:numPr>
        <w:spacing w:after="0" w:line="240" w:lineRule="auto"/>
        <w:rPr>
          <w:rStyle w:val="Heading3Char"/>
          <w:rFonts w:cs="Arial"/>
          <w:color w:val="auto"/>
        </w:rPr>
      </w:pPr>
      <w:r w:rsidRPr="008231B2">
        <w:rPr>
          <w:rStyle w:val="Heading3Char"/>
          <w:rFonts w:cs="Arial"/>
          <w:color w:val="auto"/>
        </w:rPr>
        <w:t>Mental injury directly &amp; immediately results of physical trauma;</w:t>
      </w:r>
    </w:p>
    <w:p w:rsidR="00C852CA" w:rsidRPr="008231B2" w:rsidRDefault="00C852CA" w:rsidP="008F329E">
      <w:pPr>
        <w:pStyle w:val="ListParagraph"/>
        <w:numPr>
          <w:ilvl w:val="2"/>
          <w:numId w:val="17"/>
        </w:numPr>
        <w:spacing w:after="0" w:line="240" w:lineRule="auto"/>
        <w:rPr>
          <w:rStyle w:val="Heading3Char"/>
          <w:rFonts w:cs="Arial"/>
          <w:color w:val="auto"/>
        </w:rPr>
      </w:pPr>
      <w:r w:rsidRPr="008231B2">
        <w:rPr>
          <w:rStyle w:val="Heading3Char"/>
          <w:rFonts w:cs="Arial"/>
          <w:color w:val="auto"/>
        </w:rPr>
        <w:t>Nexus between physical trauma &amp; mental injury must be proven by clear &amp; convincing evidence; and</w:t>
      </w:r>
    </w:p>
    <w:p w:rsidR="00C852CA" w:rsidRDefault="00C852CA" w:rsidP="008F329E">
      <w:pPr>
        <w:pStyle w:val="ListParagraph"/>
        <w:numPr>
          <w:ilvl w:val="2"/>
          <w:numId w:val="17"/>
        </w:numPr>
        <w:spacing w:after="0" w:line="240" w:lineRule="auto"/>
        <w:rPr>
          <w:rStyle w:val="Heading3Char"/>
          <w:rFonts w:cs="Arial"/>
          <w:color w:val="auto"/>
        </w:rPr>
      </w:pPr>
      <w:r w:rsidRPr="008231B2">
        <w:rPr>
          <w:rStyle w:val="Heading3Char"/>
          <w:rFonts w:cs="Arial"/>
          <w:color w:val="auto"/>
        </w:rPr>
        <w:t>Physical trauma is MCC of mental condition.</w:t>
      </w:r>
    </w:p>
    <w:p w:rsidR="000509F9" w:rsidRPr="008231B2" w:rsidRDefault="000509F9" w:rsidP="000509F9">
      <w:pPr>
        <w:pStyle w:val="ListParagraph"/>
        <w:spacing w:after="0" w:line="240" w:lineRule="auto"/>
        <w:ind w:left="2160"/>
        <w:rPr>
          <w:rStyle w:val="Heading3Char"/>
          <w:rFonts w:cs="Arial"/>
          <w:color w:val="auto"/>
        </w:rPr>
      </w:pPr>
    </w:p>
    <w:p w:rsidR="00C852CA" w:rsidRPr="008231B2" w:rsidRDefault="00C852CA" w:rsidP="008F329E">
      <w:pPr>
        <w:pStyle w:val="Heading2"/>
        <w:rPr>
          <w:rFonts w:eastAsia="Times New Roman" w:cs="Arial"/>
          <w:color w:val="auto"/>
        </w:rPr>
      </w:pPr>
      <w:r w:rsidRPr="008231B2">
        <w:rPr>
          <w:rFonts w:eastAsia="Times New Roman" w:cs="Arial"/>
          <w:color w:val="auto"/>
        </w:rPr>
        <w:t>Absence of a physical injury, no indemnity benefits are payable except first responders.</w:t>
      </w:r>
    </w:p>
    <w:p w:rsidR="00C852CA" w:rsidRPr="008231B2" w:rsidRDefault="00CB3580" w:rsidP="008F329E">
      <w:pPr>
        <w:pStyle w:val="Heading3"/>
        <w:numPr>
          <w:ilvl w:val="0"/>
          <w:numId w:val="20"/>
        </w:numPr>
        <w:rPr>
          <w:rFonts w:eastAsia="Times New Roman" w:cs="Arial"/>
          <w:color w:val="auto"/>
        </w:rPr>
      </w:pPr>
      <w:r>
        <w:rPr>
          <w:rFonts w:cs="Arial"/>
          <w:color w:val="auto"/>
        </w:rPr>
        <w:t xml:space="preserve">FS </w:t>
      </w:r>
      <w:r w:rsidRPr="008231B2">
        <w:rPr>
          <w:rFonts w:cs="Arial"/>
          <w:color w:val="auto"/>
        </w:rPr>
        <w:t xml:space="preserve">§ </w:t>
      </w:r>
      <w:r w:rsidR="00C852CA" w:rsidRPr="008231B2">
        <w:rPr>
          <w:rFonts w:eastAsia="Times New Roman" w:cs="Arial"/>
          <w:color w:val="auto"/>
        </w:rPr>
        <w:t xml:space="preserve">440.093 provides that a mental or nervous injury due to stress, fright, or excitement only is not an injury by </w:t>
      </w:r>
      <w:r w:rsidR="00C852CA" w:rsidRPr="008231B2">
        <w:rPr>
          <w:rFonts w:eastAsia="Times New Roman" w:cs="Arial"/>
          <w:color w:val="auto"/>
        </w:rPr>
        <w:lastRenderedPageBreak/>
        <w:t>accident arising out of the employment. This section does not allow for the payment of benefits for mental or nervous injures without an acco</w:t>
      </w:r>
      <w:r w:rsidR="00A37DEF">
        <w:rPr>
          <w:rFonts w:eastAsia="Times New Roman" w:cs="Arial"/>
          <w:color w:val="auto"/>
        </w:rPr>
        <w:t>mpanying physical injury requiring</w:t>
      </w:r>
      <w:r w:rsidR="00C852CA" w:rsidRPr="008231B2">
        <w:rPr>
          <w:rFonts w:eastAsia="Times New Roman" w:cs="Arial"/>
          <w:color w:val="auto"/>
        </w:rPr>
        <w:t xml:space="preserve"> medical treatment. </w:t>
      </w:r>
    </w:p>
    <w:p w:rsidR="00A37DEF" w:rsidRDefault="00C852CA" w:rsidP="008F329E">
      <w:pPr>
        <w:pStyle w:val="Heading3"/>
        <w:rPr>
          <w:rFonts w:eastAsia="Times New Roman" w:cs="Arial"/>
          <w:color w:val="auto"/>
        </w:rPr>
      </w:pPr>
      <w:r w:rsidRPr="008231B2">
        <w:rPr>
          <w:rFonts w:eastAsia="Times New Roman" w:cs="Arial"/>
          <w:color w:val="auto"/>
        </w:rPr>
        <w:t xml:space="preserve">However, having a physical injury is not required for first responders to </w:t>
      </w:r>
      <w:r w:rsidR="00A37DEF">
        <w:rPr>
          <w:rFonts w:eastAsia="Times New Roman" w:cs="Arial"/>
          <w:color w:val="auto"/>
        </w:rPr>
        <w:t>claim</w:t>
      </w:r>
      <w:r w:rsidRPr="008231B2">
        <w:rPr>
          <w:rFonts w:eastAsia="Times New Roman" w:cs="Arial"/>
          <w:color w:val="auto"/>
        </w:rPr>
        <w:t xml:space="preserve"> medical benefits under </w:t>
      </w:r>
      <w:r w:rsidR="00A37DEF">
        <w:rPr>
          <w:rFonts w:cs="Arial"/>
          <w:color w:val="auto"/>
        </w:rPr>
        <w:t xml:space="preserve">FS </w:t>
      </w:r>
      <w:r w:rsidR="00A37DEF" w:rsidRPr="008231B2">
        <w:rPr>
          <w:rFonts w:cs="Arial"/>
          <w:color w:val="auto"/>
        </w:rPr>
        <w:t xml:space="preserve">§ </w:t>
      </w:r>
      <w:r w:rsidRPr="008231B2">
        <w:rPr>
          <w:rFonts w:eastAsia="Times New Roman" w:cs="Arial"/>
          <w:color w:val="auto"/>
        </w:rPr>
        <w:t xml:space="preserve">440.13 for mental injuries </w:t>
      </w:r>
      <w:r w:rsidR="00377032" w:rsidRPr="008231B2">
        <w:rPr>
          <w:rFonts w:eastAsia="Times New Roman" w:cs="Arial"/>
          <w:color w:val="auto"/>
        </w:rPr>
        <w:t>per</w:t>
      </w:r>
      <w:r w:rsidRPr="008231B2">
        <w:rPr>
          <w:rFonts w:eastAsia="Times New Roman" w:cs="Arial"/>
          <w:color w:val="auto"/>
        </w:rPr>
        <w:t xml:space="preserve"> </w:t>
      </w:r>
      <w:r w:rsidR="00A37DEF">
        <w:rPr>
          <w:rFonts w:cs="Arial"/>
          <w:color w:val="auto"/>
        </w:rPr>
        <w:t xml:space="preserve">FS </w:t>
      </w:r>
      <w:r w:rsidR="00A37DEF" w:rsidRPr="008231B2">
        <w:rPr>
          <w:rFonts w:cs="Arial"/>
          <w:color w:val="auto"/>
        </w:rPr>
        <w:t xml:space="preserve">§ </w:t>
      </w:r>
      <w:r w:rsidR="00A37DEF" w:rsidRPr="008231B2">
        <w:rPr>
          <w:rFonts w:eastAsia="Times New Roman" w:cs="Arial"/>
          <w:color w:val="auto"/>
        </w:rPr>
        <w:t>112.1815</w:t>
      </w:r>
      <w:r w:rsidRPr="008231B2">
        <w:rPr>
          <w:rFonts w:eastAsia="Times New Roman" w:cs="Arial"/>
          <w:color w:val="auto"/>
        </w:rPr>
        <w:t xml:space="preserve"> (2)(a)(3) which provides that a mental or nervous injury arising out of the employment unaccompanied by a physical injury involving a first responder, medical benefits are payable for the mental or nervous injury only to the extent allowed in </w:t>
      </w:r>
      <w:r w:rsidR="00A37DEF">
        <w:rPr>
          <w:rFonts w:cs="Arial"/>
          <w:color w:val="auto"/>
        </w:rPr>
        <w:t xml:space="preserve">FS </w:t>
      </w:r>
      <w:r w:rsidR="00A37DEF" w:rsidRPr="008231B2">
        <w:rPr>
          <w:rFonts w:cs="Arial"/>
          <w:color w:val="auto"/>
        </w:rPr>
        <w:t xml:space="preserve">§ </w:t>
      </w:r>
      <w:r w:rsidRPr="008231B2">
        <w:rPr>
          <w:rFonts w:eastAsia="Times New Roman" w:cs="Arial"/>
          <w:color w:val="auto"/>
        </w:rPr>
        <w:t>40.13 (Medical services and supplies; penal</w:t>
      </w:r>
      <w:r w:rsidR="00A37DEF">
        <w:rPr>
          <w:rFonts w:eastAsia="Times New Roman" w:cs="Arial"/>
          <w:color w:val="auto"/>
        </w:rPr>
        <w:t>ty for violations; limitations).</w:t>
      </w:r>
    </w:p>
    <w:p w:rsidR="00C852CA" w:rsidRPr="008231B2" w:rsidRDefault="00C852CA" w:rsidP="00A37DEF">
      <w:pPr>
        <w:pStyle w:val="Heading3"/>
        <w:numPr>
          <w:ilvl w:val="1"/>
          <w:numId w:val="2"/>
        </w:numPr>
        <w:rPr>
          <w:rFonts w:eastAsia="Times New Roman" w:cs="Arial"/>
          <w:color w:val="auto"/>
        </w:rPr>
      </w:pPr>
      <w:r w:rsidRPr="008231B2">
        <w:rPr>
          <w:rFonts w:eastAsia="Times New Roman" w:cs="Arial"/>
          <w:color w:val="auto"/>
        </w:rPr>
        <w:t>Note however</w:t>
      </w:r>
      <w:r w:rsidR="00B561A6" w:rsidRPr="008231B2">
        <w:rPr>
          <w:rFonts w:eastAsia="Times New Roman" w:cs="Arial"/>
          <w:color w:val="auto"/>
        </w:rPr>
        <w:t xml:space="preserve"> the statue also provides that </w:t>
      </w:r>
      <w:r w:rsidRPr="008231B2">
        <w:rPr>
          <w:rFonts w:eastAsia="Times New Roman" w:cs="Arial"/>
          <w:color w:val="auto"/>
        </w:rPr>
        <w:t xml:space="preserve">payment of indemnity as provided in </w:t>
      </w:r>
      <w:r w:rsidR="00A37DEF">
        <w:rPr>
          <w:rFonts w:cs="Arial"/>
          <w:color w:val="auto"/>
        </w:rPr>
        <w:t xml:space="preserve">FS </w:t>
      </w:r>
      <w:r w:rsidR="00A37DEF" w:rsidRPr="008231B2">
        <w:rPr>
          <w:rFonts w:cs="Arial"/>
          <w:color w:val="auto"/>
        </w:rPr>
        <w:t xml:space="preserve">§ </w:t>
      </w:r>
      <w:r w:rsidRPr="008231B2">
        <w:rPr>
          <w:rFonts w:eastAsia="Times New Roman" w:cs="Arial"/>
          <w:color w:val="auto"/>
        </w:rPr>
        <w:t>440.15 (PTD, TTD, etc.) may not be made unless a physical injury arising out of injury as a first responder accompanie</w:t>
      </w:r>
      <w:r w:rsidR="00B561A6" w:rsidRPr="008231B2">
        <w:rPr>
          <w:rFonts w:eastAsia="Times New Roman" w:cs="Arial"/>
          <w:color w:val="auto"/>
        </w:rPr>
        <w:t>s the mental or nervous injury.</w:t>
      </w:r>
    </w:p>
    <w:p w:rsidR="00C852CA" w:rsidRPr="008231B2" w:rsidRDefault="00C852CA" w:rsidP="008F329E">
      <w:pPr>
        <w:rPr>
          <w:rFonts w:ascii="Arial" w:hAnsi="Arial" w:cs="Arial"/>
        </w:rPr>
      </w:pPr>
    </w:p>
    <w:p w:rsidR="00D46591" w:rsidRPr="008231B2" w:rsidRDefault="00D46591" w:rsidP="008F329E">
      <w:pPr>
        <w:pStyle w:val="Heading2"/>
        <w:rPr>
          <w:rFonts w:cs="Arial"/>
          <w:color w:val="auto"/>
        </w:rPr>
      </w:pPr>
      <w:r w:rsidRPr="008231B2">
        <w:rPr>
          <w:rFonts w:cs="Arial"/>
          <w:color w:val="auto"/>
        </w:rPr>
        <w:t>Special Rules Of Compensability Of Mental Injuries For Certain Occupations.</w:t>
      </w:r>
      <w:r w:rsidR="00F56112" w:rsidRPr="008231B2">
        <w:rPr>
          <w:rFonts w:cs="Arial"/>
          <w:color w:val="auto"/>
        </w:rPr>
        <w:t xml:space="preserve"> </w:t>
      </w:r>
    </w:p>
    <w:p w:rsidR="005B0E66" w:rsidRPr="005B0E66" w:rsidRDefault="005B0E66" w:rsidP="005B0E66">
      <w:pPr>
        <w:pStyle w:val="Heading3"/>
        <w:numPr>
          <w:ilvl w:val="0"/>
          <w:numId w:val="27"/>
        </w:numPr>
        <w:rPr>
          <w:rFonts w:cs="Arial"/>
          <w:color w:val="auto"/>
        </w:rPr>
      </w:pPr>
      <w:r>
        <w:rPr>
          <w:rFonts w:cs="Arial"/>
          <w:color w:val="auto"/>
        </w:rPr>
        <w:t xml:space="preserve">FS </w:t>
      </w:r>
      <w:r w:rsidRPr="008231B2">
        <w:rPr>
          <w:rFonts w:cs="Arial"/>
          <w:color w:val="auto"/>
        </w:rPr>
        <w:t>§</w:t>
      </w:r>
      <w:r>
        <w:rPr>
          <w:rFonts w:cs="Arial"/>
          <w:color w:val="auto"/>
        </w:rPr>
        <w:t xml:space="preserve"> </w:t>
      </w:r>
      <w:r w:rsidRPr="005B0E66">
        <w:rPr>
          <w:rFonts w:cs="Arial"/>
          <w:color w:val="auto"/>
        </w:rPr>
        <w:t>112.1815</w:t>
      </w:r>
      <w:r>
        <w:rPr>
          <w:rFonts w:cs="Arial"/>
          <w:color w:val="auto"/>
        </w:rPr>
        <w:t xml:space="preserve"> provides the special provisions for employment-related accidents and injuries for f</w:t>
      </w:r>
      <w:r w:rsidRPr="005B0E66">
        <w:rPr>
          <w:rFonts w:cs="Arial"/>
          <w:color w:val="auto"/>
        </w:rPr>
        <w:t>irefighters, paramedics, emergency medical technicians, and law enforcement officers</w:t>
      </w:r>
      <w:r>
        <w:rPr>
          <w:rFonts w:cs="Arial"/>
          <w:color w:val="auto"/>
        </w:rPr>
        <w:t>.</w:t>
      </w:r>
    </w:p>
    <w:p w:rsidR="00C852CA" w:rsidRPr="00A37DEF" w:rsidRDefault="005B0E66" w:rsidP="00A37DEF">
      <w:pPr>
        <w:pStyle w:val="Heading3"/>
        <w:numPr>
          <w:ilvl w:val="0"/>
          <w:numId w:val="27"/>
        </w:numPr>
        <w:rPr>
          <w:rFonts w:cs="Arial"/>
          <w:color w:val="auto"/>
        </w:rPr>
      </w:pPr>
      <w:r>
        <w:rPr>
          <w:rFonts w:cs="Arial"/>
          <w:color w:val="auto"/>
        </w:rPr>
        <w:t xml:space="preserve">FS </w:t>
      </w:r>
      <w:r w:rsidRPr="008231B2">
        <w:rPr>
          <w:rFonts w:cs="Arial"/>
          <w:color w:val="auto"/>
        </w:rPr>
        <w:t>§</w:t>
      </w:r>
      <w:r>
        <w:rPr>
          <w:rFonts w:cs="Arial"/>
          <w:color w:val="auto"/>
        </w:rPr>
        <w:t xml:space="preserve"> 112.1815 uses the term “first responder” and defines who is qualified as a first responder in this section. </w:t>
      </w:r>
      <w:r w:rsidR="00C852CA" w:rsidRPr="00A37DEF">
        <w:rPr>
          <w:rFonts w:cs="Arial"/>
          <w:color w:val="auto"/>
        </w:rPr>
        <w:t>First responders who are entitled to special rules are as follows:</w:t>
      </w:r>
    </w:p>
    <w:p w:rsidR="00C852CA" w:rsidRPr="008231B2" w:rsidRDefault="00C852CA" w:rsidP="008F329E">
      <w:pPr>
        <w:pStyle w:val="Heading3"/>
        <w:numPr>
          <w:ilvl w:val="1"/>
          <w:numId w:val="2"/>
        </w:numPr>
        <w:rPr>
          <w:rFonts w:cs="Arial"/>
          <w:color w:val="auto"/>
        </w:rPr>
      </w:pPr>
      <w:r w:rsidRPr="008231B2">
        <w:rPr>
          <w:rFonts w:cs="Arial"/>
          <w:color w:val="auto"/>
        </w:rPr>
        <w:t xml:space="preserve">a law enforcement officer as defined in </w:t>
      </w:r>
      <w:r w:rsidR="00CB3580">
        <w:rPr>
          <w:rFonts w:cs="Arial"/>
          <w:color w:val="auto"/>
        </w:rPr>
        <w:t xml:space="preserve">FS </w:t>
      </w:r>
      <w:r w:rsidR="00CB3580" w:rsidRPr="008231B2">
        <w:rPr>
          <w:rFonts w:cs="Arial"/>
          <w:color w:val="auto"/>
        </w:rPr>
        <w:t xml:space="preserve">§ </w:t>
      </w:r>
      <w:r w:rsidRPr="008231B2">
        <w:rPr>
          <w:rFonts w:cs="Arial"/>
          <w:color w:val="auto"/>
        </w:rPr>
        <w:t>943.10,</w:t>
      </w:r>
    </w:p>
    <w:p w:rsidR="00C852CA" w:rsidRPr="008231B2" w:rsidRDefault="00C852CA" w:rsidP="008F329E">
      <w:pPr>
        <w:pStyle w:val="Heading3"/>
        <w:numPr>
          <w:ilvl w:val="1"/>
          <w:numId w:val="2"/>
        </w:numPr>
        <w:rPr>
          <w:rFonts w:cs="Arial"/>
          <w:color w:val="auto"/>
        </w:rPr>
      </w:pPr>
      <w:r w:rsidRPr="008231B2">
        <w:rPr>
          <w:rFonts w:cs="Arial"/>
          <w:color w:val="auto"/>
        </w:rPr>
        <w:t xml:space="preserve">a firefighter as defined in </w:t>
      </w:r>
      <w:r w:rsidR="00CB3580">
        <w:rPr>
          <w:rFonts w:cs="Arial"/>
          <w:color w:val="auto"/>
        </w:rPr>
        <w:t xml:space="preserve">FS </w:t>
      </w:r>
      <w:r w:rsidR="00CB3580" w:rsidRPr="008231B2">
        <w:rPr>
          <w:rFonts w:cs="Arial"/>
          <w:color w:val="auto"/>
        </w:rPr>
        <w:t xml:space="preserve">§ </w:t>
      </w:r>
      <w:r w:rsidRPr="008231B2">
        <w:rPr>
          <w:rFonts w:cs="Arial"/>
          <w:color w:val="auto"/>
        </w:rPr>
        <w:t>633.102,</w:t>
      </w:r>
    </w:p>
    <w:p w:rsidR="00C852CA" w:rsidRPr="008231B2" w:rsidRDefault="00C852CA" w:rsidP="008F329E">
      <w:pPr>
        <w:pStyle w:val="Heading3"/>
        <w:numPr>
          <w:ilvl w:val="1"/>
          <w:numId w:val="2"/>
        </w:numPr>
        <w:rPr>
          <w:rFonts w:cs="Arial"/>
          <w:color w:val="auto"/>
        </w:rPr>
      </w:pPr>
      <w:r w:rsidRPr="008231B2">
        <w:rPr>
          <w:rFonts w:cs="Arial"/>
          <w:color w:val="auto"/>
        </w:rPr>
        <w:t xml:space="preserve">an emergency medical technician or paramedic as defined in </w:t>
      </w:r>
      <w:r w:rsidR="00CB3580">
        <w:rPr>
          <w:rFonts w:cs="Arial"/>
          <w:color w:val="auto"/>
        </w:rPr>
        <w:t xml:space="preserve">FS </w:t>
      </w:r>
      <w:r w:rsidR="00CB3580" w:rsidRPr="008231B2">
        <w:rPr>
          <w:rFonts w:cs="Arial"/>
          <w:color w:val="auto"/>
        </w:rPr>
        <w:t xml:space="preserve">§ </w:t>
      </w:r>
      <w:r w:rsidRPr="008231B2">
        <w:rPr>
          <w:rFonts w:cs="Arial"/>
          <w:color w:val="auto"/>
        </w:rPr>
        <w:t xml:space="preserve">401.23 </w:t>
      </w:r>
      <w:r w:rsidRPr="008231B2">
        <w:rPr>
          <w:rFonts w:cs="Arial"/>
          <w:b/>
          <w:color w:val="auto"/>
        </w:rPr>
        <w:t>employed by state or local government</w:t>
      </w:r>
      <w:r w:rsidRPr="008231B2">
        <w:rPr>
          <w:rFonts w:cs="Arial"/>
          <w:color w:val="auto"/>
        </w:rPr>
        <w:t>.</w:t>
      </w:r>
    </w:p>
    <w:p w:rsidR="00E74440" w:rsidRPr="008231B2" w:rsidRDefault="00C852CA" w:rsidP="008F329E">
      <w:pPr>
        <w:pStyle w:val="Heading3"/>
        <w:numPr>
          <w:ilvl w:val="1"/>
          <w:numId w:val="2"/>
        </w:numPr>
        <w:rPr>
          <w:rFonts w:cs="Arial"/>
          <w:color w:val="auto"/>
        </w:rPr>
      </w:pPr>
      <w:r w:rsidRPr="008231B2">
        <w:rPr>
          <w:rFonts w:cs="Arial"/>
          <w:color w:val="auto"/>
        </w:rPr>
        <w:t xml:space="preserve">A volunteer law enforcement officer, firefighter, or emergency medical technician or paramedic engaged </w:t>
      </w:r>
      <w:r w:rsidRPr="008231B2">
        <w:rPr>
          <w:rFonts w:cs="Arial"/>
          <w:b/>
          <w:color w:val="auto"/>
        </w:rPr>
        <w:t>by the state or a local government</w:t>
      </w:r>
      <w:r w:rsidRPr="008231B2">
        <w:rPr>
          <w:rFonts w:cs="Arial"/>
          <w:color w:val="auto"/>
        </w:rPr>
        <w:t xml:space="preserve"> is also considered a first responder</w:t>
      </w:r>
    </w:p>
    <w:p w:rsidR="00641D0A" w:rsidRPr="000E3AED" w:rsidRDefault="00641D0A" w:rsidP="00641D0A">
      <w:pPr>
        <w:pStyle w:val="Heading3"/>
      </w:pPr>
      <w:r w:rsidRPr="000E3AED">
        <w:rPr>
          <w:rFonts w:cs="Arial"/>
          <w:color w:val="auto"/>
        </w:rPr>
        <w:t xml:space="preserve">Posttraumatic stress disorder suffered by a first responder is a compensable </w:t>
      </w:r>
      <w:r w:rsidR="0057731B" w:rsidRPr="000E3AED">
        <w:rPr>
          <w:rFonts w:cs="Arial"/>
          <w:color w:val="auto"/>
        </w:rPr>
        <w:t>occupational</w:t>
      </w:r>
      <w:r w:rsidRPr="000E3AED">
        <w:rPr>
          <w:rFonts w:cs="Arial"/>
          <w:color w:val="auto"/>
        </w:rPr>
        <w:t xml:space="preserve"> disease within the meaning of subsection (4) of FS 112.1815 and s. 440.151 if:</w:t>
      </w:r>
    </w:p>
    <w:p w:rsidR="00641D0A" w:rsidRPr="000E3AED" w:rsidRDefault="00641D0A" w:rsidP="00641D0A">
      <w:pPr>
        <w:pStyle w:val="Heading3"/>
        <w:numPr>
          <w:ilvl w:val="1"/>
          <w:numId w:val="2"/>
        </w:numPr>
      </w:pPr>
      <w:r w:rsidRPr="000E3AED">
        <w:t xml:space="preserve">The posttraumatic stress disorder must result from the first responder acting within the course of his or </w:t>
      </w:r>
      <w:r w:rsidRPr="000E3AED">
        <w:lastRenderedPageBreak/>
        <w:t>her employment (as provided in s. 440.091) and the first responder is examined and subsequently diagnosed with PTSD by a licensed psychiatrist (authorized by chapter 440) due to one of the following events:</w:t>
      </w:r>
    </w:p>
    <w:p w:rsidR="00641D0A" w:rsidRPr="000E3AED" w:rsidRDefault="00641D0A" w:rsidP="005132A6">
      <w:pPr>
        <w:pStyle w:val="Heading3"/>
        <w:numPr>
          <w:ilvl w:val="2"/>
          <w:numId w:val="2"/>
        </w:numPr>
      </w:pPr>
      <w:r w:rsidRPr="000E3AED">
        <w:t>Seeing for oneself a deceased minor;</w:t>
      </w:r>
    </w:p>
    <w:p w:rsidR="00641D0A" w:rsidRPr="000E3AED" w:rsidRDefault="00641D0A" w:rsidP="00456D63">
      <w:pPr>
        <w:pStyle w:val="Heading3"/>
        <w:numPr>
          <w:ilvl w:val="2"/>
          <w:numId w:val="2"/>
        </w:numPr>
      </w:pPr>
      <w:r w:rsidRPr="000E3AED">
        <w:t>Directly witnessing the death of a minor;</w:t>
      </w:r>
    </w:p>
    <w:p w:rsidR="00641D0A" w:rsidRDefault="00641D0A" w:rsidP="00C40DFC">
      <w:pPr>
        <w:pStyle w:val="Heading3"/>
        <w:numPr>
          <w:ilvl w:val="2"/>
          <w:numId w:val="2"/>
        </w:numPr>
      </w:pPr>
      <w:r>
        <w:t>Directly witnessing an injury to a minor who subsequently died before or upon arrival at a hospital emergency department;</w:t>
      </w:r>
    </w:p>
    <w:p w:rsidR="00641D0A" w:rsidRDefault="00641D0A" w:rsidP="00DB548F">
      <w:pPr>
        <w:pStyle w:val="Heading3"/>
        <w:numPr>
          <w:ilvl w:val="2"/>
          <w:numId w:val="2"/>
        </w:numPr>
      </w:pPr>
      <w:r>
        <w:t>Participating in the physical treatment of an injured minor who subsequently died before or upon arrival at a hospital emergency department;</w:t>
      </w:r>
    </w:p>
    <w:p w:rsidR="00641D0A" w:rsidRDefault="00641D0A" w:rsidP="00641D0A">
      <w:pPr>
        <w:pStyle w:val="Heading3"/>
        <w:numPr>
          <w:ilvl w:val="2"/>
          <w:numId w:val="2"/>
        </w:numPr>
      </w:pPr>
      <w:r>
        <w:t>Manually transporting an injured minor who subsequently died before or upon arrival at a hospital emergency department;</w:t>
      </w:r>
    </w:p>
    <w:p w:rsidR="00641D0A" w:rsidRDefault="00641D0A" w:rsidP="005D16C4">
      <w:pPr>
        <w:pStyle w:val="Heading3"/>
        <w:numPr>
          <w:ilvl w:val="2"/>
          <w:numId w:val="2"/>
        </w:numPr>
      </w:pPr>
      <w:r>
        <w:t xml:space="preserve">Seeing for oneself a decedent whose death involved </w:t>
      </w:r>
      <w:r w:rsidRPr="0057731B">
        <w:rPr>
          <w:b/>
        </w:rPr>
        <w:t>grievous bodily harm of a nature that shocks the conscience</w:t>
      </w:r>
      <w:r>
        <w:t>;</w:t>
      </w:r>
    </w:p>
    <w:p w:rsidR="00641D0A" w:rsidRPr="0057731B" w:rsidRDefault="00641D0A" w:rsidP="00363756">
      <w:pPr>
        <w:pStyle w:val="Heading3"/>
        <w:numPr>
          <w:ilvl w:val="2"/>
          <w:numId w:val="2"/>
        </w:numPr>
      </w:pPr>
      <w:r>
        <w:t xml:space="preserve">Directly witnessing a death, including suicide, that involved </w:t>
      </w:r>
      <w:r w:rsidRPr="0057731B">
        <w:t>grievous bodily harm of a nature that shocks the conscience;</w:t>
      </w:r>
    </w:p>
    <w:p w:rsidR="00641D0A" w:rsidRDefault="00641D0A" w:rsidP="00F23F58">
      <w:pPr>
        <w:pStyle w:val="Heading3"/>
        <w:numPr>
          <w:ilvl w:val="2"/>
          <w:numId w:val="2"/>
        </w:numPr>
      </w:pPr>
      <w:r w:rsidRPr="0057731B">
        <w:t>Directly witnessing a homicide regardless of whether the homicide was criminal or excusable</w:t>
      </w:r>
      <w:r>
        <w:t>, including murder, mass killing as defined in 28 U.S.C. s. 530C, manslaughter, self-defense, misadventure, and negligence;</w:t>
      </w:r>
    </w:p>
    <w:p w:rsidR="00641D0A" w:rsidRPr="0057731B" w:rsidRDefault="00641D0A" w:rsidP="00914E46">
      <w:pPr>
        <w:pStyle w:val="Heading3"/>
        <w:numPr>
          <w:ilvl w:val="2"/>
          <w:numId w:val="2"/>
        </w:numPr>
      </w:pPr>
      <w:r>
        <w:t xml:space="preserve">Directly witnessing an injury, including an attempted suicide, to a person who subsequently died before or upon arrival at a hospital emergency department if the </w:t>
      </w:r>
      <w:r w:rsidRPr="0057731B">
        <w:t>person was injured by grievous bodily harm of a nature that shocks the conscience;</w:t>
      </w:r>
    </w:p>
    <w:p w:rsidR="00641D0A" w:rsidRDefault="00641D0A" w:rsidP="000C277C">
      <w:pPr>
        <w:pStyle w:val="Heading3"/>
        <w:numPr>
          <w:ilvl w:val="2"/>
          <w:numId w:val="2"/>
        </w:numPr>
      </w:pPr>
      <w:r w:rsidRPr="0057731B">
        <w:t>Participating in the physical treatment of an injury, including an attempted suicide, to a person</w:t>
      </w:r>
      <w:r>
        <w:t xml:space="preserve"> who subsequently died before or upon arrival at a hospital emergency department if the person was injured by grievous bodily harm of a nature that shocks the conscience; or</w:t>
      </w:r>
    </w:p>
    <w:p w:rsidR="00641D0A" w:rsidRDefault="00641D0A" w:rsidP="00641D0A">
      <w:pPr>
        <w:pStyle w:val="Heading3"/>
        <w:numPr>
          <w:ilvl w:val="2"/>
          <w:numId w:val="2"/>
        </w:numPr>
      </w:pPr>
      <w:r>
        <w:lastRenderedPageBreak/>
        <w:t>Manually transporting a person who was injured, including by attempted suicide, and subsequently died before or upon arrival at a hospital emergency department if the person was injured by grievous bodily harm of a nature that shocks the conscience.</w:t>
      </w:r>
    </w:p>
    <w:p w:rsidR="00641D0A" w:rsidRDefault="00641D0A" w:rsidP="00944FD9">
      <w:pPr>
        <w:pStyle w:val="Heading3"/>
        <w:numPr>
          <w:ilvl w:val="2"/>
          <w:numId w:val="2"/>
        </w:numPr>
      </w:pPr>
      <w:r>
        <w:t>Such disorder must be demonstrated by clear and convincing medical evidence.</w:t>
      </w:r>
    </w:p>
    <w:p w:rsidR="000E3AED" w:rsidRDefault="00641D0A" w:rsidP="00A221B4">
      <w:pPr>
        <w:pStyle w:val="Heading3"/>
        <w:numPr>
          <w:ilvl w:val="2"/>
          <w:numId w:val="2"/>
        </w:numPr>
      </w:pPr>
      <w:r>
        <w:t>Benefits for a first responder under this subsection:</w:t>
      </w:r>
    </w:p>
    <w:p w:rsidR="000E3AED" w:rsidRDefault="00641D0A" w:rsidP="000E3AED">
      <w:pPr>
        <w:pStyle w:val="Heading3"/>
        <w:numPr>
          <w:ilvl w:val="3"/>
          <w:numId w:val="2"/>
        </w:numPr>
      </w:pPr>
      <w:r>
        <w:t>Do not require a physical injury to the first responder; and</w:t>
      </w:r>
      <w:r w:rsidR="000E3AED">
        <w:t xml:space="preserve"> a</w:t>
      </w:r>
      <w:r>
        <w:t>re not subject to:</w:t>
      </w:r>
    </w:p>
    <w:p w:rsidR="00641D0A" w:rsidRDefault="00641D0A" w:rsidP="000E3AED">
      <w:pPr>
        <w:pStyle w:val="Heading3"/>
        <w:numPr>
          <w:ilvl w:val="3"/>
          <w:numId w:val="2"/>
        </w:numPr>
      </w:pPr>
      <w:r>
        <w:t>Apportionment due to a preexisting posttraumatic stress disorder;</w:t>
      </w:r>
    </w:p>
    <w:p w:rsidR="008F4360" w:rsidRPr="008F4360" w:rsidRDefault="0057731B" w:rsidP="00BE17AC">
      <w:pPr>
        <w:pStyle w:val="Heading3"/>
      </w:pPr>
      <w:r w:rsidRPr="004D2142">
        <w:rPr>
          <w:rFonts w:eastAsia="Times New Roman"/>
        </w:rPr>
        <w:t xml:space="preserve">Pursuant to a new statute </w:t>
      </w:r>
      <w:r w:rsidRPr="008231B2">
        <w:t>§</w:t>
      </w:r>
      <w:r w:rsidRPr="004D2142">
        <w:rPr>
          <w:rFonts w:eastAsia="Times New Roman"/>
        </w:rPr>
        <w:t xml:space="preserve"> FS 112.18155 effective July 1</w:t>
      </w:r>
      <w:r w:rsidRPr="004D2142">
        <w:rPr>
          <w:rFonts w:eastAsia="Times New Roman"/>
          <w:vertAlign w:val="superscript"/>
        </w:rPr>
        <w:t>st</w:t>
      </w:r>
      <w:r w:rsidRPr="004D2142">
        <w:rPr>
          <w:rFonts w:eastAsia="Times New Roman"/>
        </w:rPr>
        <w:t xml:space="preserve"> 2022</w:t>
      </w:r>
      <w:r w:rsidR="004D2142" w:rsidRPr="004D2142">
        <w:rPr>
          <w:rFonts w:eastAsia="Times New Roman"/>
        </w:rPr>
        <w:t>, the</w:t>
      </w:r>
      <w:r w:rsidRPr="004D2142">
        <w:rPr>
          <w:rFonts w:eastAsia="Times New Roman"/>
        </w:rPr>
        <w:t xml:space="preserve"> legislature e</w:t>
      </w:r>
      <w:r w:rsidR="00E74440" w:rsidRPr="004D2142">
        <w:rPr>
          <w:rFonts w:eastAsia="Times New Roman"/>
        </w:rPr>
        <w:t>xpanded compensability of PTSD</w:t>
      </w:r>
      <w:r w:rsidRPr="004D2142">
        <w:rPr>
          <w:rFonts w:eastAsia="Times New Roman"/>
        </w:rPr>
        <w:t xml:space="preserve"> to correctional officers and part-time correctional officers, providing in the statute special provisions for posttraumatic stress disorder.</w:t>
      </w:r>
      <w:r w:rsidR="008F4360" w:rsidRPr="004D2142">
        <w:rPr>
          <w:rFonts w:eastAsia="Times New Roman"/>
        </w:rPr>
        <w:t xml:space="preserve"> In order for PTSD to be compensable </w:t>
      </w:r>
      <w:r w:rsidR="004D2142">
        <w:rPr>
          <w:rFonts w:eastAsia="Times New Roman"/>
        </w:rPr>
        <w:t>t</w:t>
      </w:r>
      <w:r w:rsidR="008F4360" w:rsidRPr="004D2142">
        <w:rPr>
          <w:rFonts w:eastAsia="Times New Roman"/>
        </w:rPr>
        <w:t xml:space="preserve">he </w:t>
      </w:r>
      <w:r w:rsidR="008F4360" w:rsidRPr="008F4360">
        <w:t>correctional officer or part-time correctional officer must be</w:t>
      </w:r>
      <w:r w:rsidR="004D2142">
        <w:t>:</w:t>
      </w:r>
    </w:p>
    <w:p w:rsidR="008F4360" w:rsidRPr="008F4360" w:rsidRDefault="008F4360" w:rsidP="008F4360">
      <w:pPr>
        <w:pStyle w:val="Heading3"/>
        <w:numPr>
          <w:ilvl w:val="1"/>
          <w:numId w:val="2"/>
        </w:numPr>
        <w:rPr>
          <w:rFonts w:eastAsia="Times New Roman"/>
        </w:rPr>
      </w:pPr>
      <w:r>
        <w:t xml:space="preserve">(1) </w:t>
      </w:r>
      <w:r w:rsidRPr="008F4360">
        <w:t>Examined by a licensed psychiatrist who is an authorized treating physician as provided in chapter 440</w:t>
      </w:r>
      <w:r w:rsidR="004D2142">
        <w:rPr>
          <w:rFonts w:eastAsia="Times New Roman"/>
        </w:rPr>
        <w:t>.</w:t>
      </w:r>
    </w:p>
    <w:p w:rsidR="008F4360" w:rsidRDefault="008F4360" w:rsidP="008F4360">
      <w:pPr>
        <w:pStyle w:val="Heading3"/>
        <w:numPr>
          <w:ilvl w:val="1"/>
          <w:numId w:val="2"/>
        </w:numPr>
        <w:rPr>
          <w:rFonts w:eastAsia="Times New Roman"/>
        </w:rPr>
      </w:pPr>
      <w:r>
        <w:rPr>
          <w:rFonts w:eastAsia="Times New Roman"/>
        </w:rPr>
        <w:t xml:space="preserve">(2) </w:t>
      </w:r>
      <w:r w:rsidRPr="008F4360">
        <w:rPr>
          <w:rFonts w:eastAsia="Times New Roman"/>
        </w:rPr>
        <w:t>Diagnosed by the psychiatrist described in subparagraph</w:t>
      </w:r>
      <w:r>
        <w:rPr>
          <w:rFonts w:eastAsia="Times New Roman"/>
        </w:rPr>
        <w:t xml:space="preserve"> </w:t>
      </w:r>
      <w:r w:rsidRPr="008F4360">
        <w:rPr>
          <w:rFonts w:eastAsia="Times New Roman"/>
        </w:rPr>
        <w:t>1. as suffering from posttraumatic stress disorder due to one of</w:t>
      </w:r>
      <w:r>
        <w:rPr>
          <w:rFonts w:eastAsia="Times New Roman"/>
        </w:rPr>
        <w:t xml:space="preserve"> </w:t>
      </w:r>
      <w:r w:rsidRPr="008F4360">
        <w:rPr>
          <w:rFonts w:eastAsia="Times New Roman"/>
        </w:rPr>
        <w:t>the following events:</w:t>
      </w:r>
    </w:p>
    <w:p w:rsidR="008F4360" w:rsidRDefault="008F4360" w:rsidP="008F4360">
      <w:pPr>
        <w:pStyle w:val="Heading3"/>
        <w:numPr>
          <w:ilvl w:val="2"/>
          <w:numId w:val="2"/>
        </w:numPr>
        <w:rPr>
          <w:rFonts w:eastAsia="Times New Roman"/>
        </w:rPr>
      </w:pPr>
      <w:r w:rsidRPr="008F4360">
        <w:rPr>
          <w:rFonts w:eastAsia="Times New Roman"/>
        </w:rPr>
        <w:t>Being seriously injured by an inmate in a manner that</w:t>
      </w:r>
      <w:r>
        <w:rPr>
          <w:rFonts w:eastAsia="Times New Roman"/>
        </w:rPr>
        <w:t xml:space="preserve"> </w:t>
      </w:r>
      <w:r w:rsidRPr="008F4360">
        <w:rPr>
          <w:rFonts w:eastAsia="Times New Roman"/>
        </w:rPr>
        <w:t>shocks the conscience.</w:t>
      </w:r>
    </w:p>
    <w:p w:rsidR="008F4360" w:rsidRDefault="008F4360" w:rsidP="008F4360">
      <w:pPr>
        <w:pStyle w:val="Heading3"/>
        <w:numPr>
          <w:ilvl w:val="2"/>
          <w:numId w:val="2"/>
        </w:numPr>
        <w:rPr>
          <w:rFonts w:eastAsia="Times New Roman"/>
        </w:rPr>
      </w:pPr>
      <w:r w:rsidRPr="008F4360">
        <w:rPr>
          <w:rFonts w:eastAsia="Times New Roman"/>
        </w:rPr>
        <w:t>Being taken hostage by an inmate or trapped in a lif</w:t>
      </w:r>
      <w:r>
        <w:rPr>
          <w:rFonts w:eastAsia="Times New Roman"/>
        </w:rPr>
        <w:t xml:space="preserve">e </w:t>
      </w:r>
      <w:r w:rsidRPr="008F4360">
        <w:rPr>
          <w:rFonts w:eastAsia="Times New Roman"/>
        </w:rPr>
        <w:t>threatening situation as a result of an inmate’s act.</w:t>
      </w:r>
    </w:p>
    <w:p w:rsidR="008F4360" w:rsidRDefault="008F4360" w:rsidP="008F4360">
      <w:pPr>
        <w:pStyle w:val="Heading3"/>
        <w:numPr>
          <w:ilvl w:val="2"/>
          <w:numId w:val="2"/>
        </w:numPr>
        <w:rPr>
          <w:rFonts w:eastAsia="Times New Roman"/>
        </w:rPr>
      </w:pPr>
      <w:r w:rsidRPr="008F4360">
        <w:rPr>
          <w:rFonts w:eastAsia="Times New Roman"/>
        </w:rPr>
        <w:t>Directly witnessing an injury, including an attempted</w:t>
      </w:r>
      <w:r>
        <w:rPr>
          <w:rFonts w:eastAsia="Times New Roman"/>
        </w:rPr>
        <w:t xml:space="preserve"> </w:t>
      </w:r>
      <w:r w:rsidRPr="008F4360">
        <w:rPr>
          <w:rFonts w:eastAsia="Times New Roman"/>
        </w:rPr>
        <w:t>suicide, to a person who subsequently dies before or upo</w:t>
      </w:r>
      <w:r>
        <w:rPr>
          <w:rFonts w:eastAsia="Times New Roman"/>
        </w:rPr>
        <w:t xml:space="preserve">n </w:t>
      </w:r>
      <w:r w:rsidRPr="008F4360">
        <w:rPr>
          <w:rFonts w:eastAsia="Times New Roman"/>
        </w:rPr>
        <w:t>arrival at a hospital emergency department if the person was</w:t>
      </w:r>
      <w:r>
        <w:rPr>
          <w:rFonts w:eastAsia="Times New Roman"/>
        </w:rPr>
        <w:t xml:space="preserve"> </w:t>
      </w:r>
      <w:r w:rsidRPr="008F4360">
        <w:rPr>
          <w:rFonts w:eastAsia="Times New Roman"/>
        </w:rPr>
        <w:t>injured by grievous bodily harm of a nature that shocks the</w:t>
      </w:r>
      <w:r>
        <w:rPr>
          <w:rFonts w:eastAsia="Times New Roman"/>
        </w:rPr>
        <w:t xml:space="preserve"> </w:t>
      </w:r>
      <w:r w:rsidRPr="008F4360">
        <w:rPr>
          <w:rFonts w:eastAsia="Times New Roman"/>
        </w:rPr>
        <w:t>conscience.</w:t>
      </w:r>
    </w:p>
    <w:p w:rsidR="008F4360" w:rsidRDefault="008F4360" w:rsidP="008F4360">
      <w:pPr>
        <w:pStyle w:val="Heading3"/>
        <w:numPr>
          <w:ilvl w:val="2"/>
          <w:numId w:val="2"/>
        </w:numPr>
        <w:rPr>
          <w:rFonts w:eastAsia="Times New Roman"/>
        </w:rPr>
      </w:pPr>
      <w:r w:rsidRPr="008F4360">
        <w:rPr>
          <w:rFonts w:eastAsia="Times New Roman"/>
        </w:rPr>
        <w:t>Participating in the physical treatment of an injury,</w:t>
      </w:r>
      <w:r>
        <w:rPr>
          <w:rFonts w:eastAsia="Times New Roman"/>
        </w:rPr>
        <w:t xml:space="preserve"> </w:t>
      </w:r>
      <w:r w:rsidRPr="008F4360">
        <w:rPr>
          <w:rFonts w:eastAsia="Times New Roman"/>
        </w:rPr>
        <w:t>including an attempted suicide, to a person who subsequently</w:t>
      </w:r>
      <w:r>
        <w:rPr>
          <w:rFonts w:eastAsia="Times New Roman"/>
        </w:rPr>
        <w:t xml:space="preserve"> </w:t>
      </w:r>
      <w:r w:rsidRPr="008F4360">
        <w:rPr>
          <w:rFonts w:eastAsia="Times New Roman"/>
        </w:rPr>
        <w:t>dies before or upon arrival at a hospital emergency department</w:t>
      </w:r>
      <w:r>
        <w:rPr>
          <w:rFonts w:eastAsia="Times New Roman"/>
        </w:rPr>
        <w:t xml:space="preserve"> </w:t>
      </w:r>
      <w:r w:rsidRPr="008F4360">
        <w:rPr>
          <w:rFonts w:eastAsia="Times New Roman"/>
        </w:rPr>
        <w:t xml:space="preserve">if </w:t>
      </w:r>
      <w:r w:rsidRPr="008F4360">
        <w:rPr>
          <w:rFonts w:eastAsia="Times New Roman"/>
        </w:rPr>
        <w:lastRenderedPageBreak/>
        <w:t>the person was injured by grievous bodily harm of a nature</w:t>
      </w:r>
      <w:r>
        <w:rPr>
          <w:rFonts w:eastAsia="Times New Roman"/>
        </w:rPr>
        <w:t xml:space="preserve"> </w:t>
      </w:r>
      <w:r w:rsidRPr="008F4360">
        <w:rPr>
          <w:rFonts w:eastAsia="Times New Roman"/>
        </w:rPr>
        <w:t>that shocks the conscience.</w:t>
      </w:r>
    </w:p>
    <w:p w:rsidR="008F4360" w:rsidRDefault="008F4360" w:rsidP="008F4360">
      <w:pPr>
        <w:pStyle w:val="Heading3"/>
        <w:numPr>
          <w:ilvl w:val="2"/>
          <w:numId w:val="2"/>
        </w:numPr>
        <w:rPr>
          <w:rFonts w:eastAsia="Times New Roman"/>
        </w:rPr>
      </w:pPr>
      <w:r w:rsidRPr="008F4360">
        <w:rPr>
          <w:rFonts w:eastAsia="Times New Roman"/>
        </w:rPr>
        <w:t>Manually transporting a person who was injured,</w:t>
      </w:r>
      <w:r>
        <w:rPr>
          <w:rFonts w:eastAsia="Times New Roman"/>
        </w:rPr>
        <w:t xml:space="preserve"> </w:t>
      </w:r>
      <w:r w:rsidRPr="008F4360">
        <w:rPr>
          <w:rFonts w:eastAsia="Times New Roman"/>
        </w:rPr>
        <w:t>including by suicide attempt, and subsequently dies before or</w:t>
      </w:r>
      <w:r>
        <w:rPr>
          <w:rFonts w:eastAsia="Times New Roman"/>
        </w:rPr>
        <w:t xml:space="preserve"> </w:t>
      </w:r>
      <w:r w:rsidRPr="008F4360">
        <w:rPr>
          <w:rFonts w:eastAsia="Times New Roman"/>
        </w:rPr>
        <w:t>upon arrival at a hospital emergency department if the person</w:t>
      </w:r>
      <w:r>
        <w:rPr>
          <w:rFonts w:eastAsia="Times New Roman"/>
        </w:rPr>
        <w:t xml:space="preserve"> </w:t>
      </w:r>
      <w:r w:rsidRPr="008F4360">
        <w:rPr>
          <w:rFonts w:eastAsia="Times New Roman"/>
        </w:rPr>
        <w:t>was injured by grievous bodily harm of a nature that shocks the</w:t>
      </w:r>
      <w:r>
        <w:rPr>
          <w:rFonts w:eastAsia="Times New Roman"/>
        </w:rPr>
        <w:t xml:space="preserve"> </w:t>
      </w:r>
      <w:r w:rsidRPr="008F4360">
        <w:rPr>
          <w:rFonts w:eastAsia="Times New Roman"/>
        </w:rPr>
        <w:t>conscience.</w:t>
      </w:r>
    </w:p>
    <w:p w:rsidR="008F4360" w:rsidRDefault="008F4360" w:rsidP="008F4360">
      <w:pPr>
        <w:pStyle w:val="Heading3"/>
        <w:numPr>
          <w:ilvl w:val="2"/>
          <w:numId w:val="2"/>
        </w:numPr>
        <w:rPr>
          <w:rFonts w:eastAsia="Times New Roman"/>
        </w:rPr>
      </w:pPr>
      <w:r w:rsidRPr="008F4360">
        <w:rPr>
          <w:rFonts w:eastAsia="Times New Roman"/>
        </w:rPr>
        <w:t>Directly witnessing a death, including a death by</w:t>
      </w:r>
      <w:r>
        <w:rPr>
          <w:rFonts w:eastAsia="Times New Roman"/>
        </w:rPr>
        <w:t xml:space="preserve"> </w:t>
      </w:r>
      <w:r w:rsidRPr="008F4360">
        <w:rPr>
          <w:rFonts w:eastAsia="Times New Roman"/>
        </w:rPr>
        <w:t>suicide, that involved grievous bodily harm of a nature that</w:t>
      </w:r>
      <w:r>
        <w:rPr>
          <w:rFonts w:eastAsia="Times New Roman"/>
        </w:rPr>
        <w:t xml:space="preserve"> </w:t>
      </w:r>
      <w:r w:rsidRPr="008F4360">
        <w:rPr>
          <w:rFonts w:eastAsia="Times New Roman"/>
        </w:rPr>
        <w:t>shocks the conscience.</w:t>
      </w:r>
    </w:p>
    <w:p w:rsidR="008F4360" w:rsidRDefault="008F4360" w:rsidP="00E86428">
      <w:pPr>
        <w:pStyle w:val="Heading3"/>
        <w:numPr>
          <w:ilvl w:val="2"/>
          <w:numId w:val="2"/>
        </w:numPr>
        <w:rPr>
          <w:rFonts w:eastAsia="Times New Roman"/>
        </w:rPr>
      </w:pPr>
      <w:r w:rsidRPr="008F4360">
        <w:rPr>
          <w:rFonts w:eastAsia="Times New Roman"/>
        </w:rPr>
        <w:t>Directly witnessing a homicide regardless of whether the homicide was criminal or excusable, including murder, mass killing, manslaughter, self-defense, misadventure, and negligence.</w:t>
      </w:r>
    </w:p>
    <w:p w:rsidR="008F4360" w:rsidRDefault="008F4360" w:rsidP="008F4360">
      <w:pPr>
        <w:pStyle w:val="Heading3"/>
        <w:numPr>
          <w:ilvl w:val="2"/>
          <w:numId w:val="2"/>
        </w:numPr>
        <w:rPr>
          <w:rFonts w:eastAsia="Times New Roman"/>
        </w:rPr>
      </w:pPr>
      <w:r w:rsidRPr="008F4360">
        <w:rPr>
          <w:rFonts w:eastAsia="Times New Roman"/>
        </w:rPr>
        <w:t>Seeing for oneself a decedent whose</w:t>
      </w:r>
      <w:r>
        <w:rPr>
          <w:rFonts w:eastAsia="Times New Roman"/>
        </w:rPr>
        <w:t xml:space="preserve"> </w:t>
      </w:r>
      <w:r w:rsidRPr="008F4360">
        <w:rPr>
          <w:rFonts w:eastAsia="Times New Roman"/>
        </w:rPr>
        <w:t>grievous bodily harm of a nature that shocks the conscience.</w:t>
      </w:r>
    </w:p>
    <w:p w:rsidR="008F4360" w:rsidRDefault="008F4360" w:rsidP="008F4360">
      <w:pPr>
        <w:pStyle w:val="Heading3"/>
        <w:numPr>
          <w:ilvl w:val="1"/>
          <w:numId w:val="2"/>
        </w:numPr>
        <w:rPr>
          <w:rFonts w:eastAsia="Times New Roman"/>
        </w:rPr>
      </w:pPr>
      <w:r w:rsidRPr="008F4360">
        <w:rPr>
          <w:rFonts w:eastAsia="Times New Roman"/>
        </w:rPr>
        <w:t>The posttraumatic stress disorder must be demonstrated</w:t>
      </w:r>
      <w:r>
        <w:rPr>
          <w:rFonts w:eastAsia="Times New Roman"/>
        </w:rPr>
        <w:t xml:space="preserve"> </w:t>
      </w:r>
      <w:r w:rsidRPr="008F4360">
        <w:rPr>
          <w:rFonts w:eastAsia="Times New Roman"/>
        </w:rPr>
        <w:t>by clear and convincing medical evidence.</w:t>
      </w:r>
    </w:p>
    <w:p w:rsidR="008F4360" w:rsidRDefault="008F4360" w:rsidP="008F4360">
      <w:pPr>
        <w:pStyle w:val="Heading3"/>
        <w:numPr>
          <w:ilvl w:val="1"/>
          <w:numId w:val="2"/>
        </w:numPr>
        <w:rPr>
          <w:rFonts w:eastAsia="Times New Roman"/>
        </w:rPr>
      </w:pPr>
      <w:r w:rsidRPr="008F4360">
        <w:rPr>
          <w:rFonts w:eastAsia="Times New Roman"/>
        </w:rPr>
        <w:t>Benefits for a correctional officer or part-time</w:t>
      </w:r>
      <w:r>
        <w:rPr>
          <w:rFonts w:eastAsia="Times New Roman"/>
        </w:rPr>
        <w:t xml:space="preserve"> </w:t>
      </w:r>
      <w:r w:rsidRPr="008F4360">
        <w:rPr>
          <w:rFonts w:eastAsia="Times New Roman"/>
        </w:rPr>
        <w:t>correctional officer under this section:</w:t>
      </w:r>
    </w:p>
    <w:p w:rsidR="000509F9" w:rsidRDefault="008F4360" w:rsidP="008F4360">
      <w:pPr>
        <w:pStyle w:val="Heading3"/>
        <w:numPr>
          <w:ilvl w:val="2"/>
          <w:numId w:val="2"/>
        </w:numPr>
        <w:rPr>
          <w:rFonts w:eastAsia="Times New Roman"/>
        </w:rPr>
      </w:pPr>
      <w:r w:rsidRPr="008F4360">
        <w:rPr>
          <w:rFonts w:eastAsia="Times New Roman"/>
        </w:rPr>
        <w:t>Do not require a physical injury to the correctional</w:t>
      </w:r>
      <w:r>
        <w:rPr>
          <w:rFonts w:eastAsia="Times New Roman"/>
        </w:rPr>
        <w:t xml:space="preserve"> </w:t>
      </w:r>
      <w:r w:rsidRPr="008F4360">
        <w:rPr>
          <w:rFonts w:eastAsia="Times New Roman"/>
        </w:rPr>
        <w:t>officer or part-time correctional officer.</w:t>
      </w:r>
    </w:p>
    <w:p w:rsidR="008F4360" w:rsidRPr="008F4360" w:rsidRDefault="008F4360" w:rsidP="008F4360"/>
    <w:p w:rsidR="00C852CA" w:rsidRPr="008231B2" w:rsidRDefault="00C852CA" w:rsidP="008F329E">
      <w:pPr>
        <w:pStyle w:val="Heading2"/>
        <w:rPr>
          <w:rFonts w:eastAsia="Times New Roman" w:cs="Arial"/>
          <w:color w:val="auto"/>
        </w:rPr>
      </w:pPr>
      <w:r w:rsidRPr="008231B2">
        <w:rPr>
          <w:rFonts w:eastAsia="Times New Roman" w:cs="Arial"/>
          <w:color w:val="auto"/>
        </w:rPr>
        <w:t>Conscious shocking injuries</w:t>
      </w:r>
    </w:p>
    <w:p w:rsidR="00C852CA" w:rsidRPr="008231B2" w:rsidRDefault="00C852CA" w:rsidP="008F329E">
      <w:pPr>
        <w:pStyle w:val="Heading3"/>
        <w:numPr>
          <w:ilvl w:val="0"/>
          <w:numId w:val="18"/>
        </w:numPr>
        <w:rPr>
          <w:rFonts w:eastAsia="Times New Roman" w:cs="Arial"/>
          <w:color w:val="auto"/>
        </w:rPr>
      </w:pPr>
      <w:r w:rsidRPr="008231B2">
        <w:rPr>
          <w:rFonts w:eastAsia="Times New Roman" w:cs="Arial"/>
          <w:color w:val="auto"/>
        </w:rPr>
        <w:t xml:space="preserve">69L-3.009. Injuries that Qualify as Grievous Bodily Harm of a Nature that Shocks the Conscience. Authority for specifying injuries is from </w:t>
      </w:r>
      <w:r w:rsidR="006B074A">
        <w:rPr>
          <w:rFonts w:cs="Arial"/>
          <w:color w:val="auto"/>
        </w:rPr>
        <w:t xml:space="preserve">FS </w:t>
      </w:r>
      <w:r w:rsidR="006B074A" w:rsidRPr="008231B2">
        <w:rPr>
          <w:rFonts w:cs="Arial"/>
          <w:color w:val="auto"/>
        </w:rPr>
        <w:t xml:space="preserve">§ </w:t>
      </w:r>
      <w:r w:rsidRPr="008231B2">
        <w:rPr>
          <w:rFonts w:eastAsia="Times New Roman" w:cs="Arial"/>
          <w:color w:val="auto"/>
        </w:rPr>
        <w:t>112.1815(5)(f).</w:t>
      </w:r>
    </w:p>
    <w:p w:rsidR="00C852CA" w:rsidRPr="008231B2" w:rsidRDefault="00C852CA" w:rsidP="008F329E">
      <w:pPr>
        <w:pStyle w:val="Heading3"/>
        <w:numPr>
          <w:ilvl w:val="1"/>
          <w:numId w:val="2"/>
        </w:numPr>
        <w:rPr>
          <w:rFonts w:eastAsia="Times New Roman" w:cs="Arial"/>
          <w:color w:val="auto"/>
        </w:rPr>
      </w:pPr>
      <w:r w:rsidRPr="008231B2">
        <w:rPr>
          <w:rFonts w:eastAsia="Times New Roman" w:cs="Arial"/>
          <w:color w:val="auto"/>
        </w:rPr>
        <w:t xml:space="preserve">To </w:t>
      </w:r>
      <w:r w:rsidRPr="008231B2">
        <w:rPr>
          <w:rFonts w:cs="Arial"/>
          <w:color w:val="auto"/>
        </w:rPr>
        <w:t>determine compensability of employment-related posttraumatic stress disorder</w:t>
      </w:r>
      <w:r w:rsidRPr="008231B2">
        <w:rPr>
          <w:rFonts w:eastAsia="Times New Roman" w:cs="Arial"/>
          <w:color w:val="auto"/>
        </w:rPr>
        <w:t xml:space="preserve"> for first responders the following injuries qualify as grievous bodily harm of a nature that shocks the conscience:</w:t>
      </w:r>
    </w:p>
    <w:p w:rsidR="00C852CA" w:rsidRPr="008231B2" w:rsidRDefault="00C852CA" w:rsidP="008F329E">
      <w:pPr>
        <w:pStyle w:val="Heading3"/>
        <w:numPr>
          <w:ilvl w:val="2"/>
          <w:numId w:val="2"/>
        </w:numPr>
        <w:rPr>
          <w:rFonts w:eastAsia="Times New Roman" w:cs="Arial"/>
          <w:color w:val="auto"/>
        </w:rPr>
      </w:pPr>
      <w:r w:rsidRPr="008231B2">
        <w:rPr>
          <w:rFonts w:eastAsia="Times New Roman" w:cs="Arial"/>
          <w:color w:val="auto"/>
        </w:rPr>
        <w:t>Decapitation</w:t>
      </w:r>
    </w:p>
    <w:p w:rsidR="00C852CA" w:rsidRPr="008231B2" w:rsidRDefault="00C852CA" w:rsidP="008F329E">
      <w:pPr>
        <w:pStyle w:val="Heading3"/>
        <w:numPr>
          <w:ilvl w:val="2"/>
          <w:numId w:val="2"/>
        </w:numPr>
        <w:rPr>
          <w:rFonts w:eastAsia="Times New Roman" w:cs="Arial"/>
          <w:color w:val="auto"/>
        </w:rPr>
      </w:pPr>
      <w:r w:rsidRPr="008231B2">
        <w:rPr>
          <w:rFonts w:eastAsia="Times New Roman" w:cs="Arial"/>
          <w:color w:val="auto"/>
        </w:rPr>
        <w:t>Degloving</w:t>
      </w:r>
    </w:p>
    <w:p w:rsidR="00C852CA" w:rsidRPr="008231B2" w:rsidRDefault="00C852CA" w:rsidP="008F329E">
      <w:pPr>
        <w:pStyle w:val="Heading3"/>
        <w:numPr>
          <w:ilvl w:val="2"/>
          <w:numId w:val="2"/>
        </w:numPr>
        <w:rPr>
          <w:rFonts w:eastAsia="Times New Roman" w:cs="Arial"/>
          <w:color w:val="auto"/>
        </w:rPr>
      </w:pPr>
      <w:r w:rsidRPr="008231B2">
        <w:rPr>
          <w:rFonts w:eastAsia="Times New Roman" w:cs="Arial"/>
          <w:color w:val="auto"/>
        </w:rPr>
        <w:t>Enucleation</w:t>
      </w:r>
    </w:p>
    <w:p w:rsidR="00C852CA" w:rsidRPr="008231B2" w:rsidRDefault="00C852CA" w:rsidP="008F329E">
      <w:pPr>
        <w:pStyle w:val="Heading3"/>
        <w:numPr>
          <w:ilvl w:val="2"/>
          <w:numId w:val="2"/>
        </w:numPr>
        <w:rPr>
          <w:rFonts w:eastAsia="Times New Roman" w:cs="Arial"/>
          <w:color w:val="auto"/>
        </w:rPr>
      </w:pPr>
      <w:r w:rsidRPr="008231B2">
        <w:rPr>
          <w:rFonts w:eastAsia="Times New Roman" w:cs="Arial"/>
          <w:color w:val="auto"/>
        </w:rPr>
        <w:t>Evisceration</w:t>
      </w:r>
    </w:p>
    <w:p w:rsidR="00C852CA" w:rsidRPr="008231B2" w:rsidRDefault="00C852CA" w:rsidP="008F329E">
      <w:pPr>
        <w:pStyle w:val="Heading3"/>
        <w:numPr>
          <w:ilvl w:val="2"/>
          <w:numId w:val="2"/>
        </w:numPr>
        <w:rPr>
          <w:rFonts w:eastAsia="Times New Roman" w:cs="Arial"/>
          <w:color w:val="auto"/>
        </w:rPr>
      </w:pPr>
      <w:r w:rsidRPr="008231B2">
        <w:rPr>
          <w:rFonts w:eastAsia="Times New Roman" w:cs="Arial"/>
          <w:color w:val="auto"/>
        </w:rPr>
        <w:lastRenderedPageBreak/>
        <w:t>Exposure of one or more of the following inter organs: brain, heart, intestines, kidneys, liver, lungs</w:t>
      </w:r>
    </w:p>
    <w:p w:rsidR="00C852CA" w:rsidRPr="008231B2" w:rsidRDefault="00C852CA" w:rsidP="008F329E">
      <w:pPr>
        <w:pStyle w:val="Heading3"/>
        <w:numPr>
          <w:ilvl w:val="2"/>
          <w:numId w:val="2"/>
        </w:numPr>
        <w:rPr>
          <w:rFonts w:eastAsia="Times New Roman" w:cs="Arial"/>
          <w:color w:val="auto"/>
        </w:rPr>
      </w:pPr>
      <w:r w:rsidRPr="008231B2">
        <w:rPr>
          <w:rFonts w:eastAsia="Times New Roman" w:cs="Arial"/>
          <w:color w:val="auto"/>
        </w:rPr>
        <w:t>Impalement</w:t>
      </w:r>
    </w:p>
    <w:p w:rsidR="00C852CA" w:rsidRPr="008231B2" w:rsidRDefault="00C852CA" w:rsidP="008F329E">
      <w:pPr>
        <w:pStyle w:val="Heading3"/>
        <w:numPr>
          <w:ilvl w:val="2"/>
          <w:numId w:val="2"/>
        </w:numPr>
        <w:rPr>
          <w:rFonts w:eastAsia="Times New Roman" w:cs="Arial"/>
          <w:color w:val="auto"/>
        </w:rPr>
      </w:pPr>
      <w:r w:rsidRPr="008231B2">
        <w:rPr>
          <w:rFonts w:eastAsia="Times New Roman" w:cs="Arial"/>
          <w:color w:val="auto"/>
        </w:rPr>
        <w:t>Severance (full or partial),</w:t>
      </w:r>
    </w:p>
    <w:p w:rsidR="00C852CA" w:rsidRPr="008231B2" w:rsidRDefault="00C852CA" w:rsidP="008F329E">
      <w:pPr>
        <w:pStyle w:val="Heading3"/>
        <w:numPr>
          <w:ilvl w:val="2"/>
          <w:numId w:val="2"/>
        </w:numPr>
        <w:rPr>
          <w:rFonts w:eastAsia="Times New Roman" w:cs="Arial"/>
          <w:color w:val="auto"/>
        </w:rPr>
      </w:pPr>
      <w:r w:rsidRPr="008231B2">
        <w:rPr>
          <w:rFonts w:eastAsia="Times New Roman" w:cs="Arial"/>
          <w:color w:val="auto"/>
        </w:rPr>
        <w:t>And Third degree burn on 9% or more of the body.</w:t>
      </w:r>
    </w:p>
    <w:p w:rsidR="00C852CA" w:rsidRDefault="00C852CA" w:rsidP="00377032">
      <w:pPr>
        <w:pStyle w:val="Heading3"/>
        <w:rPr>
          <w:rFonts w:eastAsia="Times New Roman" w:cs="Arial"/>
          <w:color w:val="auto"/>
        </w:rPr>
      </w:pPr>
      <w:r w:rsidRPr="008231B2">
        <w:rPr>
          <w:rFonts w:eastAsia="Times New Roman" w:cs="Arial"/>
          <w:color w:val="auto"/>
        </w:rPr>
        <w:t>Pursuant to the amended statut</w:t>
      </w:r>
      <w:r w:rsidR="00377032" w:rsidRPr="008231B2">
        <w:rPr>
          <w:rFonts w:eastAsia="Times New Roman" w:cs="Arial"/>
          <w:color w:val="auto"/>
        </w:rPr>
        <w:t xml:space="preserve">e </w:t>
      </w:r>
      <w:r w:rsidR="006B074A">
        <w:rPr>
          <w:rFonts w:cs="Arial"/>
          <w:color w:val="auto"/>
        </w:rPr>
        <w:t xml:space="preserve">FS </w:t>
      </w:r>
      <w:r w:rsidR="006B074A" w:rsidRPr="008231B2">
        <w:rPr>
          <w:rFonts w:cs="Arial"/>
          <w:color w:val="auto"/>
        </w:rPr>
        <w:t xml:space="preserve">§ </w:t>
      </w:r>
      <w:r w:rsidR="00377032" w:rsidRPr="008231B2">
        <w:rPr>
          <w:rFonts w:eastAsia="Times New Roman" w:cs="Arial"/>
          <w:color w:val="auto"/>
        </w:rPr>
        <w:t>112.1815 effective</w:t>
      </w:r>
      <w:r w:rsidRPr="008231B2">
        <w:rPr>
          <w:rFonts w:eastAsia="Times New Roman" w:cs="Arial"/>
          <w:color w:val="auto"/>
        </w:rPr>
        <w:t xml:space="preserve"> July 1</w:t>
      </w:r>
      <w:r w:rsidRPr="008231B2">
        <w:rPr>
          <w:rFonts w:eastAsia="Times New Roman" w:cs="Arial"/>
          <w:color w:val="auto"/>
          <w:vertAlign w:val="superscript"/>
        </w:rPr>
        <w:t>st</w:t>
      </w:r>
      <w:r w:rsidRPr="008231B2">
        <w:rPr>
          <w:rFonts w:eastAsia="Times New Roman" w:cs="Arial"/>
          <w:color w:val="auto"/>
        </w:rPr>
        <w:t xml:space="preserve"> 202</w:t>
      </w:r>
      <w:r w:rsidR="00377032" w:rsidRPr="008231B2">
        <w:rPr>
          <w:rFonts w:eastAsia="Times New Roman" w:cs="Arial"/>
          <w:color w:val="auto"/>
        </w:rPr>
        <w:t xml:space="preserve">2. The notice required for a PTSD claim to be timely </w:t>
      </w:r>
      <w:r w:rsidRPr="008231B2">
        <w:rPr>
          <w:rFonts w:eastAsia="Times New Roman" w:cs="Arial"/>
          <w:color w:val="auto"/>
        </w:rPr>
        <w:t>changed from the manifestation of the disorder</w:t>
      </w:r>
      <w:r w:rsidR="00377032" w:rsidRPr="008231B2">
        <w:rPr>
          <w:rFonts w:eastAsia="Times New Roman" w:cs="Arial"/>
          <w:color w:val="auto"/>
        </w:rPr>
        <w:t>,</w:t>
      </w:r>
      <w:r w:rsidRPr="008231B2">
        <w:rPr>
          <w:rFonts w:eastAsia="Times New Roman" w:cs="Arial"/>
          <w:color w:val="auto"/>
        </w:rPr>
        <w:t xml:space="preserve"> to the “diagnosis” of the disorder. This changes when a claim must be asserted as a claim must be properly noticed within 52 weeks after the qualifying event, or the “diagnosis of the disorder”</w:t>
      </w:r>
      <w:r w:rsidR="00DD70D3">
        <w:rPr>
          <w:rFonts w:eastAsia="Times New Roman" w:cs="Arial"/>
          <w:color w:val="auto"/>
        </w:rPr>
        <w:t>,</w:t>
      </w:r>
      <w:r w:rsidRPr="008231B2">
        <w:rPr>
          <w:rFonts w:eastAsia="Times New Roman" w:cs="Arial"/>
          <w:color w:val="auto"/>
        </w:rPr>
        <w:t xml:space="preserve"> no longer the manifestation of the disorder.</w:t>
      </w:r>
    </w:p>
    <w:p w:rsidR="00DD70D3" w:rsidRDefault="00DD70D3">
      <w:r>
        <w:br w:type="page"/>
      </w:r>
    </w:p>
    <w:p w:rsidR="00D46591" w:rsidRDefault="00D46591" w:rsidP="008F329E">
      <w:pPr>
        <w:pStyle w:val="Heading1"/>
        <w:rPr>
          <w:rFonts w:cs="Arial"/>
          <w:color w:val="auto"/>
        </w:rPr>
      </w:pPr>
      <w:r w:rsidRPr="008231B2">
        <w:rPr>
          <w:rFonts w:cs="Arial"/>
          <w:color w:val="auto"/>
        </w:rPr>
        <w:lastRenderedPageBreak/>
        <w:t>ORDINARY DISEASES OF LIFE AND OCCUPATIONAL</w:t>
      </w:r>
      <w:r w:rsidR="00F56112" w:rsidRPr="008231B2">
        <w:rPr>
          <w:rFonts w:cs="Arial"/>
          <w:color w:val="auto"/>
        </w:rPr>
        <w:t xml:space="preserve"> DISEASES</w:t>
      </w:r>
    </w:p>
    <w:p w:rsidR="000509F9" w:rsidRPr="000509F9" w:rsidRDefault="000509F9" w:rsidP="000509F9"/>
    <w:p w:rsidR="00D46591" w:rsidRPr="008231B2" w:rsidRDefault="00D46591" w:rsidP="008F329E">
      <w:pPr>
        <w:pStyle w:val="Heading2"/>
        <w:numPr>
          <w:ilvl w:val="0"/>
          <w:numId w:val="10"/>
        </w:numPr>
        <w:rPr>
          <w:rFonts w:cs="Arial"/>
          <w:color w:val="auto"/>
        </w:rPr>
      </w:pPr>
      <w:r w:rsidRPr="008231B2">
        <w:rPr>
          <w:rFonts w:cs="Arial"/>
          <w:color w:val="auto"/>
        </w:rPr>
        <w:t>The pre-COVID legal environment.</w:t>
      </w:r>
    </w:p>
    <w:p w:rsidR="00D46591" w:rsidRPr="008231B2" w:rsidRDefault="00D46591" w:rsidP="008F329E">
      <w:pPr>
        <w:pStyle w:val="Heading3"/>
        <w:numPr>
          <w:ilvl w:val="0"/>
          <w:numId w:val="11"/>
        </w:numPr>
        <w:rPr>
          <w:rFonts w:cs="Arial"/>
          <w:color w:val="auto"/>
        </w:rPr>
      </w:pPr>
      <w:r w:rsidRPr="008231B2">
        <w:rPr>
          <w:rFonts w:cs="Arial"/>
          <w:color w:val="auto"/>
        </w:rPr>
        <w:t>Diseases caused by exposure to toxic substances, such as</w:t>
      </w:r>
      <w:r w:rsidR="005F292D" w:rsidRPr="008231B2">
        <w:rPr>
          <w:rFonts w:cs="Arial"/>
          <w:color w:val="auto"/>
        </w:rPr>
        <w:t xml:space="preserve"> </w:t>
      </w:r>
      <w:r w:rsidRPr="008231B2">
        <w:rPr>
          <w:rFonts w:cs="Arial"/>
          <w:color w:val="auto"/>
        </w:rPr>
        <w:t>fungus or mold, are not compensable absent clear and</w:t>
      </w:r>
      <w:r w:rsidR="005F292D" w:rsidRPr="008231B2">
        <w:rPr>
          <w:rFonts w:cs="Arial"/>
          <w:color w:val="auto"/>
        </w:rPr>
        <w:t xml:space="preserve"> </w:t>
      </w:r>
      <w:r w:rsidRPr="008231B2">
        <w:rPr>
          <w:rFonts w:cs="Arial"/>
          <w:color w:val="auto"/>
        </w:rPr>
        <w:t>convincing evidence establishing causation, the specific</w:t>
      </w:r>
      <w:r w:rsidR="005F292D" w:rsidRPr="008231B2">
        <w:rPr>
          <w:rFonts w:cs="Arial"/>
          <w:color w:val="auto"/>
        </w:rPr>
        <w:t xml:space="preserve"> </w:t>
      </w:r>
      <w:r w:rsidRPr="008231B2">
        <w:rPr>
          <w:rFonts w:cs="Arial"/>
          <w:color w:val="auto"/>
        </w:rPr>
        <w:t>substance involved and the level of exposure per</w:t>
      </w:r>
      <w:r w:rsidR="005F292D" w:rsidRPr="008231B2">
        <w:rPr>
          <w:rFonts w:cs="Arial"/>
          <w:color w:val="auto"/>
        </w:rPr>
        <w:t xml:space="preserve"> </w:t>
      </w:r>
      <w:r w:rsidR="00DD70D3">
        <w:rPr>
          <w:rFonts w:cs="Arial"/>
          <w:color w:val="auto"/>
        </w:rPr>
        <w:t xml:space="preserve">FS </w:t>
      </w:r>
      <w:r w:rsidR="00DD70D3" w:rsidRPr="008231B2">
        <w:rPr>
          <w:rFonts w:cs="Arial"/>
          <w:color w:val="auto"/>
        </w:rPr>
        <w:t xml:space="preserve">§ </w:t>
      </w:r>
      <w:r w:rsidRPr="008231B2">
        <w:rPr>
          <w:rFonts w:cs="Arial"/>
          <w:color w:val="auto"/>
        </w:rPr>
        <w:t>440.02(1</w:t>
      </w:r>
      <w:r w:rsidR="00DD70D3">
        <w:rPr>
          <w:rFonts w:cs="Arial"/>
          <w:color w:val="auto"/>
        </w:rPr>
        <w:t>).</w:t>
      </w:r>
    </w:p>
    <w:p w:rsidR="00D46591" w:rsidRPr="008231B2" w:rsidRDefault="00D46591" w:rsidP="008F329E">
      <w:pPr>
        <w:pStyle w:val="Heading3"/>
        <w:rPr>
          <w:rFonts w:cs="Arial"/>
          <w:color w:val="auto"/>
        </w:rPr>
      </w:pPr>
      <w:r w:rsidRPr="008231B2">
        <w:rPr>
          <w:rFonts w:cs="Arial"/>
          <w:color w:val="auto"/>
        </w:rPr>
        <w:t>Requirements of occupational diseases are set out in</w:t>
      </w:r>
      <w:r w:rsidR="005F292D" w:rsidRPr="008231B2">
        <w:rPr>
          <w:rFonts w:cs="Arial"/>
          <w:color w:val="auto"/>
        </w:rPr>
        <w:t xml:space="preserve"> </w:t>
      </w:r>
      <w:r w:rsidR="00DD70D3">
        <w:rPr>
          <w:rFonts w:cs="Arial"/>
          <w:color w:val="auto"/>
        </w:rPr>
        <w:t xml:space="preserve">FS </w:t>
      </w:r>
      <w:r w:rsidR="00DD70D3" w:rsidRPr="008231B2">
        <w:rPr>
          <w:rFonts w:cs="Arial"/>
          <w:color w:val="auto"/>
        </w:rPr>
        <w:t xml:space="preserve">§ </w:t>
      </w:r>
      <w:r w:rsidR="00DD70D3">
        <w:rPr>
          <w:rFonts w:cs="Arial"/>
          <w:color w:val="auto"/>
        </w:rPr>
        <w:t xml:space="preserve">440.151. </w:t>
      </w:r>
      <w:r w:rsidRPr="008231B2">
        <w:rPr>
          <w:rFonts w:cs="Arial"/>
          <w:color w:val="auto"/>
        </w:rPr>
        <w:t>Ordinary diseases of</w:t>
      </w:r>
      <w:r w:rsidR="005F292D" w:rsidRPr="008231B2">
        <w:rPr>
          <w:rFonts w:cs="Arial"/>
          <w:color w:val="auto"/>
        </w:rPr>
        <w:t xml:space="preserve"> </w:t>
      </w:r>
      <w:r w:rsidRPr="008231B2">
        <w:rPr>
          <w:rFonts w:cs="Arial"/>
          <w:color w:val="auto"/>
        </w:rPr>
        <w:t>life are excluded from the definition of occupational diseases</w:t>
      </w:r>
      <w:r w:rsidR="005F292D" w:rsidRPr="008231B2">
        <w:rPr>
          <w:rFonts w:cs="Arial"/>
          <w:color w:val="auto"/>
        </w:rPr>
        <w:t xml:space="preserve"> </w:t>
      </w:r>
      <w:r w:rsidRPr="008231B2">
        <w:rPr>
          <w:rFonts w:cs="Arial"/>
          <w:color w:val="auto"/>
        </w:rPr>
        <w:t>unless the incidence of the disease is substantially higher</w:t>
      </w:r>
      <w:r w:rsidR="005F292D" w:rsidRPr="008231B2">
        <w:rPr>
          <w:rFonts w:cs="Arial"/>
          <w:color w:val="auto"/>
        </w:rPr>
        <w:t xml:space="preserve"> </w:t>
      </w:r>
      <w:r w:rsidRPr="008231B2">
        <w:rPr>
          <w:rFonts w:cs="Arial"/>
          <w:color w:val="auto"/>
        </w:rPr>
        <w:t>in the particular trade, occupation or employment than for</w:t>
      </w:r>
      <w:r w:rsidR="005F292D" w:rsidRPr="008231B2">
        <w:rPr>
          <w:rFonts w:cs="Arial"/>
          <w:color w:val="auto"/>
        </w:rPr>
        <w:t xml:space="preserve"> </w:t>
      </w:r>
      <w:r w:rsidRPr="008231B2">
        <w:rPr>
          <w:rFonts w:cs="Arial"/>
          <w:color w:val="auto"/>
        </w:rPr>
        <w:t>the general public. Epidemiological studies must exist to</w:t>
      </w:r>
      <w:r w:rsidR="005F292D" w:rsidRPr="008231B2">
        <w:rPr>
          <w:rFonts w:cs="Arial"/>
          <w:color w:val="auto"/>
        </w:rPr>
        <w:t xml:space="preserve"> </w:t>
      </w:r>
      <w:r w:rsidRPr="008231B2">
        <w:rPr>
          <w:rFonts w:cs="Arial"/>
          <w:color w:val="auto"/>
        </w:rPr>
        <w:t>support the concept of an occupational disease.</w:t>
      </w:r>
    </w:p>
    <w:p w:rsidR="00530EA3" w:rsidRPr="008231B2" w:rsidRDefault="00DD70D3" w:rsidP="008F329E">
      <w:pPr>
        <w:pStyle w:val="Heading3"/>
        <w:rPr>
          <w:rFonts w:cs="Arial"/>
          <w:color w:val="auto"/>
        </w:rPr>
      </w:pPr>
      <w:r>
        <w:rPr>
          <w:rFonts w:cs="Arial"/>
          <w:color w:val="auto"/>
        </w:rPr>
        <w:t xml:space="preserve">FS </w:t>
      </w:r>
      <w:r w:rsidRPr="008231B2">
        <w:rPr>
          <w:rFonts w:cs="Arial"/>
          <w:color w:val="auto"/>
        </w:rPr>
        <w:t xml:space="preserve">§ </w:t>
      </w:r>
      <w:r w:rsidR="00530EA3" w:rsidRPr="008231B2">
        <w:rPr>
          <w:rFonts w:cs="Arial"/>
          <w:color w:val="auto"/>
        </w:rPr>
        <w:t xml:space="preserve">440.02(1) Provides that “An injury or disease caused by exposure to a toxic substance, including, but not limited to, fungus or mold, is </w:t>
      </w:r>
      <w:r w:rsidR="00530EA3" w:rsidRPr="008231B2">
        <w:rPr>
          <w:rFonts w:cs="Arial"/>
          <w:b/>
          <w:color w:val="auto"/>
          <w:u w:val="single"/>
        </w:rPr>
        <w:t>not</w:t>
      </w:r>
      <w:r w:rsidR="00530EA3" w:rsidRPr="008231B2">
        <w:rPr>
          <w:rFonts w:cs="Arial"/>
          <w:color w:val="auto"/>
        </w:rPr>
        <w:t xml:space="preserve"> an injury by accident arising out of the employment unless there is </w:t>
      </w:r>
      <w:r w:rsidR="00530EA3" w:rsidRPr="008231B2">
        <w:rPr>
          <w:rFonts w:cs="Arial"/>
          <w:b/>
          <w:color w:val="auto"/>
          <w:u w:val="single"/>
        </w:rPr>
        <w:t>clear and convincing evidence</w:t>
      </w:r>
      <w:r w:rsidR="00530EA3" w:rsidRPr="008231B2">
        <w:rPr>
          <w:rFonts w:cs="Arial"/>
          <w:color w:val="auto"/>
        </w:rPr>
        <w:t xml:space="preserve"> establishing that exposure to the specific substance involved, at the levels to which the employee was exposed, can cause the injury or disease sustained by the employee.”</w:t>
      </w:r>
    </w:p>
    <w:p w:rsidR="00530EA3" w:rsidRPr="008231B2" w:rsidRDefault="00530EA3" w:rsidP="008F329E">
      <w:pPr>
        <w:pStyle w:val="Heading3"/>
        <w:rPr>
          <w:rFonts w:cs="Arial"/>
          <w:color w:val="auto"/>
        </w:rPr>
      </w:pPr>
      <w:r w:rsidRPr="008231B2">
        <w:rPr>
          <w:rFonts w:cs="Arial"/>
          <w:color w:val="auto"/>
        </w:rPr>
        <w:t>In</w:t>
      </w:r>
      <w:r w:rsidRPr="008231B2">
        <w:rPr>
          <w:rFonts w:cs="Arial"/>
          <w:color w:val="auto"/>
          <w:u w:val="single"/>
        </w:rPr>
        <w:t xml:space="preserve"> Altman Contractors v. Gibson</w:t>
      </w:r>
      <w:r w:rsidRPr="008231B2">
        <w:rPr>
          <w:rFonts w:cs="Arial"/>
          <w:color w:val="auto"/>
        </w:rPr>
        <w:t xml:space="preserve">, 63 So. 3d 802, 803 (Fla. 1st DCA 2011) the E/C challenged an order from the JCC finding claimant’s mold exposure injury compensable. The court reversed the order on appeal, agreeing with the E/C’s argument that “reversal is warranted because no record evidence establishes the levels of mold to which Claimant was exposed in the workplace, a statutory condition imposed by section 440.02(1), Florida Statutes (2005).” </w:t>
      </w:r>
      <w:r w:rsidRPr="008231B2">
        <w:rPr>
          <w:rFonts w:cs="Arial"/>
          <w:color w:val="auto"/>
          <w:u w:val="single"/>
        </w:rPr>
        <w:t>Id.</w:t>
      </w:r>
      <w:r w:rsidRPr="008231B2">
        <w:rPr>
          <w:rFonts w:cs="Arial"/>
          <w:color w:val="auto"/>
        </w:rPr>
        <w:t xml:space="preserve"> The court also found the “JCC erred in substituting the causation standard expressed in </w:t>
      </w:r>
      <w:hyperlink r:id="rId10" w:history="1">
        <w:r w:rsidRPr="008231B2">
          <w:rPr>
            <w:rStyle w:val="Hyperlink"/>
            <w:rFonts w:cs="Arial"/>
            <w:i/>
            <w:iCs/>
            <w:color w:val="auto"/>
          </w:rPr>
          <w:t>Festa v. Teleflex, Inc.,</w:t>
        </w:r>
        <w:r w:rsidRPr="008231B2">
          <w:rPr>
            <w:rStyle w:val="Hyperlink"/>
            <w:rFonts w:cs="Arial"/>
            <w:color w:val="auto"/>
          </w:rPr>
          <w:t xml:space="preserve"> 382 So.2d 122 (Fla. 1st DCA 1980)</w:t>
        </w:r>
      </w:hyperlink>
      <w:r w:rsidRPr="008231B2">
        <w:rPr>
          <w:rFonts w:cs="Arial"/>
          <w:color w:val="auto"/>
        </w:rPr>
        <w:t xml:space="preserve">, for the more exacting statutory causation standard for mold exposure claims enacted by the Legislature.” </w:t>
      </w:r>
      <w:r w:rsidRPr="008231B2">
        <w:rPr>
          <w:rFonts w:cs="Arial"/>
          <w:color w:val="auto"/>
          <w:u w:val="single"/>
        </w:rPr>
        <w:t>Id.</w:t>
      </w:r>
    </w:p>
    <w:p w:rsidR="00BD1828" w:rsidRPr="008231B2" w:rsidRDefault="00530EA3" w:rsidP="008F329E">
      <w:pPr>
        <w:pStyle w:val="Heading3"/>
        <w:rPr>
          <w:rFonts w:cs="Arial"/>
          <w:color w:val="auto"/>
        </w:rPr>
      </w:pPr>
      <w:r w:rsidRPr="008231B2">
        <w:rPr>
          <w:rFonts w:cs="Arial"/>
          <w:color w:val="auto"/>
        </w:rPr>
        <w:t xml:space="preserve">In </w:t>
      </w:r>
      <w:r w:rsidRPr="008231B2">
        <w:rPr>
          <w:rFonts w:cs="Arial"/>
          <w:color w:val="auto"/>
          <w:u w:val="single"/>
        </w:rPr>
        <w:t>Matrix Employee Leasing v. Pierce</w:t>
      </w:r>
      <w:r w:rsidRPr="008231B2">
        <w:rPr>
          <w:rFonts w:cs="Arial"/>
          <w:color w:val="auto"/>
        </w:rPr>
        <w:t xml:space="preserve">, 985 So. 2d 631, 633 (Fla. 1st DCA 2008), the court stated (regarding Section 440.02(1), Florida Statutes (2005)) “The statute expressly requires both a higher standard of proof (“clear and convincing evidence”) and a certain degree of specificity as </w:t>
      </w:r>
      <w:r w:rsidRPr="008231B2">
        <w:rPr>
          <w:rFonts w:cs="Arial"/>
          <w:color w:val="auto"/>
        </w:rPr>
        <w:lastRenderedPageBreak/>
        <w:t>to the “specific substance involved” and the “levels to which the employee was exposed” before an injury from toxic exposure can be found compensable.”</w:t>
      </w:r>
    </w:p>
    <w:p w:rsidR="00630698" w:rsidRPr="008231B2" w:rsidRDefault="00BD1828" w:rsidP="00BD1828">
      <w:pPr>
        <w:pStyle w:val="Heading3"/>
        <w:rPr>
          <w:rFonts w:cs="Arial"/>
          <w:color w:val="auto"/>
        </w:rPr>
      </w:pPr>
      <w:r w:rsidRPr="008231B2">
        <w:rPr>
          <w:rFonts w:cs="Arial"/>
          <w:color w:val="auto"/>
        </w:rPr>
        <w:t xml:space="preserve">In </w:t>
      </w:r>
      <w:r w:rsidRPr="008231B2">
        <w:rPr>
          <w:rFonts w:cs="Arial"/>
          <w:color w:val="auto"/>
          <w:u w:val="single"/>
        </w:rPr>
        <w:t>Sch. Dist. of Indian River Cnty. v. Cruce</w:t>
      </w:r>
      <w:r w:rsidRPr="008231B2">
        <w:rPr>
          <w:rFonts w:cs="Arial"/>
          <w:color w:val="auto"/>
        </w:rPr>
        <w:t xml:space="preserve">, 289 So. 3d 36 (Fla. 1st DCA 2019) the E/C challenged a final order finding claimant’s death resulted from a workplace exposure to Cryptococcus neoformans fungus. The court reversed the decision of the JCC because the JCC improperly applied the statutory provisions of </w:t>
      </w:r>
      <w:r w:rsidR="000E0CFC">
        <w:rPr>
          <w:rFonts w:cs="Arial"/>
          <w:color w:val="auto"/>
        </w:rPr>
        <w:t xml:space="preserve">FS </w:t>
      </w:r>
      <w:r w:rsidR="000E0CFC" w:rsidRPr="008231B2">
        <w:rPr>
          <w:rFonts w:cs="Arial"/>
          <w:color w:val="auto"/>
        </w:rPr>
        <w:t xml:space="preserve">§ </w:t>
      </w:r>
      <w:r w:rsidRPr="008231B2">
        <w:rPr>
          <w:rFonts w:cs="Arial"/>
          <w:color w:val="auto"/>
        </w:rPr>
        <w:t xml:space="preserve">440.02(1) and </w:t>
      </w:r>
      <w:r w:rsidR="000E0CFC">
        <w:rPr>
          <w:rFonts w:cs="Arial"/>
          <w:color w:val="auto"/>
        </w:rPr>
        <w:t xml:space="preserve">FS </w:t>
      </w:r>
      <w:r w:rsidR="000E0CFC" w:rsidRPr="008231B2">
        <w:rPr>
          <w:rFonts w:cs="Arial"/>
          <w:color w:val="auto"/>
        </w:rPr>
        <w:t xml:space="preserve">§ </w:t>
      </w:r>
      <w:r w:rsidRPr="008231B2">
        <w:rPr>
          <w:rFonts w:cs="Arial"/>
          <w:color w:val="auto"/>
        </w:rPr>
        <w:t xml:space="preserve">440.09(1). In this case the JCC incorrectly determined that the heightened standard for toxic exposure under </w:t>
      </w:r>
      <w:r w:rsidR="000E0CFC">
        <w:rPr>
          <w:rFonts w:cs="Arial"/>
          <w:color w:val="auto"/>
        </w:rPr>
        <w:t xml:space="preserve">FS </w:t>
      </w:r>
      <w:r w:rsidR="000E0CFC" w:rsidRPr="008231B2">
        <w:rPr>
          <w:rFonts w:cs="Arial"/>
          <w:color w:val="auto"/>
        </w:rPr>
        <w:t xml:space="preserve">§ </w:t>
      </w:r>
      <w:r w:rsidRPr="008231B2">
        <w:rPr>
          <w:rFonts w:cs="Arial"/>
          <w:color w:val="auto"/>
        </w:rPr>
        <w:t>440.02(1</w:t>
      </w:r>
      <w:r w:rsidR="000E0CFC">
        <w:rPr>
          <w:rFonts w:cs="Arial"/>
          <w:color w:val="auto"/>
        </w:rPr>
        <w:t xml:space="preserve">) </w:t>
      </w:r>
      <w:r w:rsidRPr="008231B2">
        <w:rPr>
          <w:rFonts w:cs="Arial"/>
          <w:color w:val="auto"/>
        </w:rPr>
        <w:t xml:space="preserve">does not require proof, by clear and convincing evidence, of the quantitative level of exposure in all cases. The JCC incorrectly substituted the alternative standard for exposure under </w:t>
      </w:r>
      <w:r w:rsidRPr="008231B2">
        <w:rPr>
          <w:rFonts w:cs="Arial"/>
          <w:color w:val="auto"/>
          <w:u w:val="single"/>
        </w:rPr>
        <w:t>Festa v. Teleflex, Inc.</w:t>
      </w:r>
      <w:r w:rsidRPr="008231B2">
        <w:rPr>
          <w:rFonts w:cs="Arial"/>
          <w:color w:val="auto"/>
        </w:rPr>
        <w:t xml:space="preserve">, 382 So. 2d 122, 123 (Fla. 1st DCA 1980), for that of section 440.09(1) with regards to burden of proof. The court stated: “Section 440.09(1) requires that the employee show a causal connection between the employment and the alleged exposure injuries. Just as section 440.02(1) dictates that the substance and the level of exposure be “specifically” proven, section 440.09(1) likewise requires proof of occupational causation with specificity and by clear and convincing evidence. </w:t>
      </w:r>
      <w:r w:rsidRPr="008231B2">
        <w:rPr>
          <w:rFonts w:cs="Arial"/>
          <w:color w:val="auto"/>
          <w:u w:val="single"/>
        </w:rPr>
        <w:t>Sch. Dist. of Indian River Cnty. v. Cruce</w:t>
      </w:r>
      <w:r w:rsidRPr="008231B2">
        <w:rPr>
          <w:rFonts w:cs="Arial"/>
          <w:color w:val="auto"/>
        </w:rPr>
        <w:t>, 289 So. 3d 36, 42 (Fla. 1st DCA 2019).</w:t>
      </w:r>
    </w:p>
    <w:p w:rsidR="00530EA3" w:rsidRPr="008231B2" w:rsidRDefault="00530EA3" w:rsidP="008F329E">
      <w:pPr>
        <w:pStyle w:val="Heading3"/>
        <w:rPr>
          <w:rFonts w:eastAsia="Times New Roman" w:cs="Arial"/>
          <w:color w:val="auto"/>
        </w:rPr>
      </w:pPr>
      <w:r w:rsidRPr="008231B2">
        <w:rPr>
          <w:rFonts w:cs="Arial"/>
          <w:color w:val="auto"/>
        </w:rPr>
        <w:t xml:space="preserve">Note that for first responders the evidence requirement for exposures to a toxic substance is different. </w:t>
      </w:r>
      <w:r w:rsidR="000E0CFC">
        <w:rPr>
          <w:rFonts w:cs="Arial"/>
          <w:color w:val="auto"/>
        </w:rPr>
        <w:t xml:space="preserve">FS </w:t>
      </w:r>
      <w:r w:rsidR="000E0CFC" w:rsidRPr="008231B2">
        <w:rPr>
          <w:rFonts w:cs="Arial"/>
          <w:color w:val="auto"/>
        </w:rPr>
        <w:t xml:space="preserve">§ </w:t>
      </w:r>
      <w:r w:rsidRPr="008231B2">
        <w:rPr>
          <w:rFonts w:cs="Arial"/>
          <w:color w:val="auto"/>
        </w:rPr>
        <w:t xml:space="preserve">112.1815 provides that there only need be a “preponderance of the evidence”. </w:t>
      </w:r>
    </w:p>
    <w:p w:rsidR="00530EA3" w:rsidRPr="008231B2" w:rsidRDefault="00530EA3" w:rsidP="008F329E">
      <w:pPr>
        <w:pStyle w:val="Heading3"/>
        <w:rPr>
          <w:rFonts w:cs="Arial"/>
          <w:color w:val="auto"/>
        </w:rPr>
      </w:pPr>
      <w:r w:rsidRPr="008231B2">
        <w:rPr>
          <w:rFonts w:cs="Arial"/>
          <w:color w:val="auto"/>
        </w:rPr>
        <w:t>“</w:t>
      </w:r>
      <w:r w:rsidRPr="008231B2">
        <w:rPr>
          <w:rFonts w:eastAsia="Times New Roman" w:cs="Arial"/>
          <w:color w:val="auto"/>
        </w:rPr>
        <w:t xml:space="preserve">An injury or disease caused by the exposure to a toxic substance is not an injury by accident arising out of employment unless there is a </w:t>
      </w:r>
      <w:r w:rsidRPr="008231B2">
        <w:rPr>
          <w:rFonts w:eastAsia="Times New Roman" w:cs="Arial"/>
          <w:b/>
          <w:color w:val="auto"/>
        </w:rPr>
        <w:t>preponderance of the evidence</w:t>
      </w:r>
      <w:r w:rsidRPr="008231B2">
        <w:rPr>
          <w:rFonts w:eastAsia="Times New Roman" w:cs="Arial"/>
          <w:color w:val="auto"/>
        </w:rPr>
        <w:t xml:space="preserve"> establishing that exposure to the specific substance involved, at the levels to which the first responder was exposed, can cause the injury or disease sustained by the employee.” § 112.1815, Fla. Stat. Ann. (emphasis added)</w:t>
      </w:r>
      <w:r w:rsidR="00210209">
        <w:rPr>
          <w:rFonts w:eastAsia="Times New Roman" w:cs="Arial"/>
          <w:color w:val="auto"/>
        </w:rPr>
        <w:t>.</w:t>
      </w:r>
    </w:p>
    <w:p w:rsidR="00530EA3" w:rsidRPr="008231B2" w:rsidRDefault="00530EA3" w:rsidP="00377032">
      <w:pPr>
        <w:pStyle w:val="Heading3"/>
        <w:rPr>
          <w:rFonts w:eastAsia="Times New Roman" w:cs="Arial"/>
          <w:color w:val="auto"/>
        </w:rPr>
      </w:pPr>
      <w:r w:rsidRPr="008231B2">
        <w:rPr>
          <w:rFonts w:cs="Arial"/>
          <w:color w:val="auto"/>
        </w:rPr>
        <w:t xml:space="preserve">The following </w:t>
      </w:r>
      <w:r w:rsidR="00377032" w:rsidRPr="008231B2">
        <w:rPr>
          <w:rFonts w:cs="Arial"/>
          <w:color w:val="auto"/>
        </w:rPr>
        <w:t xml:space="preserve">Black’s Law Dictionary </w:t>
      </w:r>
      <w:r w:rsidRPr="008231B2">
        <w:rPr>
          <w:rFonts w:cs="Arial"/>
          <w:color w:val="auto"/>
        </w:rPr>
        <w:t xml:space="preserve">definitions of the standards of proof may be helpful in understanding what is required of the claimant. </w:t>
      </w:r>
    </w:p>
    <w:p w:rsidR="00530EA3" w:rsidRPr="008231B2" w:rsidRDefault="00530EA3" w:rsidP="008F329E">
      <w:pPr>
        <w:pStyle w:val="Heading3"/>
        <w:numPr>
          <w:ilvl w:val="1"/>
          <w:numId w:val="2"/>
        </w:numPr>
        <w:rPr>
          <w:rFonts w:eastAsia="Times New Roman" w:cs="Arial"/>
          <w:color w:val="auto"/>
        </w:rPr>
      </w:pPr>
      <w:r w:rsidRPr="008231B2">
        <w:rPr>
          <w:rFonts w:cs="Arial"/>
          <w:color w:val="auto"/>
        </w:rPr>
        <w:t xml:space="preserve">Black’s Law Dictionary describes </w:t>
      </w:r>
      <w:r w:rsidRPr="008231B2">
        <w:rPr>
          <w:rFonts w:eastAsia="Times New Roman" w:cs="Arial"/>
          <w:bCs/>
          <w:color w:val="auto"/>
        </w:rPr>
        <w:t xml:space="preserve">clear and convincing evidence as </w:t>
      </w:r>
      <w:r w:rsidRPr="008231B2">
        <w:rPr>
          <w:rFonts w:eastAsia="Times New Roman" w:cs="Arial"/>
          <w:color w:val="auto"/>
        </w:rPr>
        <w:t xml:space="preserve">“Evidence indicating that the </w:t>
      </w:r>
      <w:r w:rsidRPr="008231B2">
        <w:rPr>
          <w:rFonts w:eastAsia="Times New Roman" w:cs="Arial"/>
          <w:color w:val="auto"/>
        </w:rPr>
        <w:lastRenderedPageBreak/>
        <w:t>thing to be proved is highly probable or reasonably certain.” EVIDENCE, Black's Law Dictionary (11th ed. 2019).</w:t>
      </w:r>
    </w:p>
    <w:p w:rsidR="00530EA3" w:rsidRDefault="00530EA3" w:rsidP="008F329E">
      <w:pPr>
        <w:pStyle w:val="Heading3"/>
        <w:numPr>
          <w:ilvl w:val="1"/>
          <w:numId w:val="2"/>
        </w:numPr>
        <w:rPr>
          <w:rFonts w:eastAsia="Times New Roman" w:cs="Arial"/>
          <w:color w:val="auto"/>
        </w:rPr>
      </w:pPr>
      <w:r w:rsidRPr="008231B2">
        <w:rPr>
          <w:rFonts w:eastAsia="Times New Roman" w:cs="Arial"/>
          <w:bCs/>
          <w:color w:val="auto"/>
        </w:rPr>
        <w:t>Black’s Law Dictionary describes preponderance of the evidence</w:t>
      </w:r>
      <w:r w:rsidRPr="008231B2">
        <w:rPr>
          <w:rFonts w:eastAsia="Times New Roman" w:cs="Arial"/>
          <w:color w:val="auto"/>
        </w:rPr>
        <w:t xml:space="preserve"> as “The greater weight of the evidence, not necessarily established by the greater number of witnesses testifying to a fact but by evidence that has the most convincing force; superior evidentiary weight that, though not sufficient to free the mind wholly from all reasonable doubt, is still sufficient to incline a fair and impartial mind to one side of the issue rather than the other.” PREPONDERANCE OF THE EVIDENCE, Black's Law Dictionary (11th ed. 2019).</w:t>
      </w:r>
    </w:p>
    <w:p w:rsidR="00794151" w:rsidRDefault="00794151">
      <w:r>
        <w:br w:type="page"/>
      </w:r>
    </w:p>
    <w:p w:rsidR="00D46591" w:rsidRPr="008231B2" w:rsidRDefault="00D46591" w:rsidP="008F329E">
      <w:pPr>
        <w:pStyle w:val="Heading2"/>
        <w:rPr>
          <w:rFonts w:cs="Arial"/>
          <w:color w:val="auto"/>
        </w:rPr>
      </w:pPr>
      <w:r w:rsidRPr="008231B2">
        <w:rPr>
          <w:rFonts w:cs="Arial"/>
          <w:color w:val="auto"/>
        </w:rPr>
        <w:lastRenderedPageBreak/>
        <w:t>Post-COVID legal environment</w:t>
      </w:r>
    </w:p>
    <w:p w:rsidR="00FF71C6" w:rsidRPr="008231B2" w:rsidRDefault="00D46591" w:rsidP="008F329E">
      <w:pPr>
        <w:pStyle w:val="Heading3"/>
        <w:numPr>
          <w:ilvl w:val="0"/>
          <w:numId w:val="12"/>
        </w:numPr>
        <w:rPr>
          <w:rFonts w:cs="Arial"/>
          <w:color w:val="auto"/>
        </w:rPr>
      </w:pPr>
      <w:r w:rsidRPr="008231B2">
        <w:rPr>
          <w:rFonts w:cs="Arial"/>
          <w:color w:val="auto"/>
        </w:rPr>
        <w:t>Executive Order 20-52 from Governor Ronald DeSantis.</w:t>
      </w:r>
    </w:p>
    <w:p w:rsidR="00FF71C6" w:rsidRPr="008231B2" w:rsidRDefault="00FF71C6" w:rsidP="008F329E">
      <w:pPr>
        <w:pStyle w:val="Heading3"/>
        <w:numPr>
          <w:ilvl w:val="1"/>
          <w:numId w:val="12"/>
        </w:numPr>
        <w:rPr>
          <w:rFonts w:cs="Arial"/>
          <w:color w:val="auto"/>
        </w:rPr>
      </w:pPr>
      <w:r w:rsidRPr="008231B2">
        <w:rPr>
          <w:rFonts w:cs="Arial"/>
          <w:color w:val="auto"/>
        </w:rPr>
        <w:t>In response to the COVID-19 epidemic Governor Ronald DeSantis declared a state of emergency in EO 20-52 which authorized</w:t>
      </w:r>
      <w:r w:rsidR="00F26E01" w:rsidRPr="008231B2">
        <w:rPr>
          <w:rFonts w:cs="Arial"/>
          <w:color w:val="auto"/>
        </w:rPr>
        <w:t xml:space="preserve"> each State agency to suspend the provisions of any regulatory statute of that agency, if strict compliance with that statute would in any way prevent, hinder, or delay necessary action</w:t>
      </w:r>
      <w:r w:rsidRPr="008231B2">
        <w:rPr>
          <w:rFonts w:cs="Arial"/>
          <w:color w:val="auto"/>
        </w:rPr>
        <w:t xml:space="preserve"> in coping with this emergency. </w:t>
      </w:r>
    </w:p>
    <w:p w:rsidR="00FF71C6" w:rsidRPr="008231B2" w:rsidRDefault="00FF71C6" w:rsidP="00163B8F">
      <w:pPr>
        <w:pStyle w:val="Heading3"/>
        <w:numPr>
          <w:ilvl w:val="2"/>
          <w:numId w:val="12"/>
        </w:numPr>
        <w:rPr>
          <w:rFonts w:cs="Arial"/>
          <w:color w:val="auto"/>
        </w:rPr>
      </w:pPr>
      <w:r w:rsidRPr="008231B2">
        <w:rPr>
          <w:rFonts w:cs="Arial"/>
          <w:color w:val="auto"/>
        </w:rPr>
        <w:t>This order was extended multiple times until it expired on June 26, 2021</w:t>
      </w:r>
    </w:p>
    <w:p w:rsidR="00FF71C6" w:rsidRPr="008231B2" w:rsidRDefault="00D46591" w:rsidP="008F329E">
      <w:pPr>
        <w:pStyle w:val="Heading3"/>
        <w:rPr>
          <w:rFonts w:cs="Arial"/>
          <w:color w:val="auto"/>
        </w:rPr>
      </w:pPr>
      <w:r w:rsidRPr="008231B2">
        <w:rPr>
          <w:rFonts w:cs="Arial"/>
          <w:color w:val="auto"/>
        </w:rPr>
        <w:t>Executive Orders and Directives from the Department of</w:t>
      </w:r>
      <w:r w:rsidR="005F292D" w:rsidRPr="008231B2">
        <w:rPr>
          <w:rFonts w:cs="Arial"/>
          <w:color w:val="auto"/>
        </w:rPr>
        <w:t xml:space="preserve"> </w:t>
      </w:r>
      <w:r w:rsidRPr="008231B2">
        <w:rPr>
          <w:rFonts w:cs="Arial"/>
          <w:color w:val="auto"/>
        </w:rPr>
        <w:t>Financial Services and Division of Workers</w:t>
      </w:r>
      <w:r w:rsidR="00133A21">
        <w:rPr>
          <w:rFonts w:cs="Arial"/>
          <w:color w:val="auto"/>
        </w:rPr>
        <w:t>’</w:t>
      </w:r>
      <w:r w:rsidRPr="008231B2">
        <w:rPr>
          <w:rFonts w:cs="Arial"/>
          <w:color w:val="auto"/>
        </w:rPr>
        <w:t xml:space="preserve"> Compensation</w:t>
      </w:r>
      <w:r w:rsidR="005F292D" w:rsidRPr="008231B2">
        <w:rPr>
          <w:rFonts w:cs="Arial"/>
          <w:color w:val="auto"/>
        </w:rPr>
        <w:t xml:space="preserve"> </w:t>
      </w:r>
    </w:p>
    <w:p w:rsidR="00BA020B" w:rsidRPr="008231B2" w:rsidRDefault="00FF71C6" w:rsidP="00851952">
      <w:pPr>
        <w:pStyle w:val="Heading3"/>
        <w:numPr>
          <w:ilvl w:val="1"/>
          <w:numId w:val="2"/>
        </w:numPr>
        <w:rPr>
          <w:rFonts w:cs="Arial"/>
          <w:color w:val="auto"/>
        </w:rPr>
      </w:pPr>
      <w:r w:rsidRPr="008231B2">
        <w:rPr>
          <w:rFonts w:cs="Arial"/>
          <w:color w:val="auto"/>
        </w:rPr>
        <w:t xml:space="preserve">CFO Directive 20-05 </w:t>
      </w:r>
      <w:r w:rsidR="00BA020B" w:rsidRPr="008231B2">
        <w:rPr>
          <w:rFonts w:cs="Arial"/>
          <w:color w:val="auto"/>
        </w:rPr>
        <w:t xml:space="preserve">was issued in response to EO 20-52 and </w:t>
      </w:r>
      <w:r w:rsidRPr="008231B2">
        <w:rPr>
          <w:rFonts w:cs="Arial"/>
          <w:color w:val="auto"/>
        </w:rPr>
        <w:t>directed the DFS Division of Risk Management to provide workers’ compensation coverage for frontline state employees, while allowing individual agency heads to opt-out of these provisions</w:t>
      </w:r>
      <w:r w:rsidR="00851952" w:rsidRPr="008231B2">
        <w:rPr>
          <w:rFonts w:cs="Arial"/>
          <w:color w:val="auto"/>
        </w:rPr>
        <w:t xml:space="preserve">. </w:t>
      </w:r>
      <w:r w:rsidR="00BA020B" w:rsidRPr="008231B2">
        <w:rPr>
          <w:rFonts w:cs="Arial"/>
          <w:color w:val="auto"/>
        </w:rPr>
        <w:t xml:space="preserve">The order found “Frontline State Employees” perform critical functions which cannot be deferred or performed remotely and would require substantial contacts with people known or suspected of carrying COVID-19, and provided workers’ compensation benefits to these frontline </w:t>
      </w:r>
      <w:r w:rsidR="0089329D" w:rsidRPr="008231B2">
        <w:rPr>
          <w:rFonts w:cs="Arial"/>
          <w:color w:val="auto"/>
        </w:rPr>
        <w:t>employees</w:t>
      </w:r>
      <w:r w:rsidR="00BA020B" w:rsidRPr="008231B2">
        <w:rPr>
          <w:rFonts w:cs="Arial"/>
          <w:color w:val="auto"/>
        </w:rPr>
        <w:t xml:space="preserve"> who contract COVID-19 to support recovery and speed </w:t>
      </w:r>
      <w:r w:rsidR="0089329D" w:rsidRPr="008231B2">
        <w:rPr>
          <w:rFonts w:cs="Arial"/>
          <w:color w:val="auto"/>
        </w:rPr>
        <w:t>employees</w:t>
      </w:r>
      <w:r w:rsidR="00BA020B" w:rsidRPr="008231B2">
        <w:rPr>
          <w:rFonts w:cs="Arial"/>
          <w:color w:val="auto"/>
        </w:rPr>
        <w:t>’ ability to resume critical functions for the State of Florida.</w:t>
      </w:r>
    </w:p>
    <w:p w:rsidR="00851952" w:rsidRPr="008231B2" w:rsidRDefault="00851952" w:rsidP="00BA020B">
      <w:pPr>
        <w:pStyle w:val="Heading3"/>
        <w:numPr>
          <w:ilvl w:val="2"/>
          <w:numId w:val="2"/>
        </w:numPr>
        <w:rPr>
          <w:rFonts w:cs="Arial"/>
          <w:color w:val="auto"/>
        </w:rPr>
      </w:pPr>
      <w:r w:rsidRPr="008231B2">
        <w:rPr>
          <w:rFonts w:cs="Arial"/>
          <w:color w:val="auto"/>
        </w:rPr>
        <w:t>This order expired on June 26, 2021 with the expiration of EO 20-52.</w:t>
      </w:r>
    </w:p>
    <w:p w:rsidR="00BA020B" w:rsidRPr="008231B2" w:rsidRDefault="00FF71C6" w:rsidP="00851952">
      <w:pPr>
        <w:pStyle w:val="Heading3"/>
        <w:numPr>
          <w:ilvl w:val="1"/>
          <w:numId w:val="2"/>
        </w:numPr>
        <w:rPr>
          <w:rFonts w:cs="Arial"/>
          <w:color w:val="auto"/>
        </w:rPr>
      </w:pPr>
      <w:r w:rsidRPr="008231B2">
        <w:rPr>
          <w:rFonts w:cs="Arial"/>
          <w:color w:val="auto"/>
        </w:rPr>
        <w:t>CFO Directive 20-06</w:t>
      </w:r>
      <w:r w:rsidR="00EC1FD8" w:rsidRPr="008231B2">
        <w:rPr>
          <w:rFonts w:cs="Arial"/>
          <w:color w:val="auto"/>
        </w:rPr>
        <w:t xml:space="preserve"> </w:t>
      </w:r>
      <w:r w:rsidR="00172E6C" w:rsidRPr="008231B2">
        <w:rPr>
          <w:rFonts w:cs="Arial"/>
          <w:color w:val="auto"/>
        </w:rPr>
        <w:t xml:space="preserve">was issued in response to EO 20-52 and </w:t>
      </w:r>
      <w:r w:rsidR="00BC115A" w:rsidRPr="008231B2">
        <w:rPr>
          <w:rFonts w:cs="Arial"/>
          <w:color w:val="auto"/>
        </w:rPr>
        <w:t>suspended</w:t>
      </w:r>
      <w:r w:rsidR="00EC1FD8" w:rsidRPr="008231B2">
        <w:rPr>
          <w:rFonts w:cs="Arial"/>
          <w:color w:val="auto"/>
        </w:rPr>
        <w:t xml:space="preserve"> employer penalty payments and reinstatement of stop-work penalty orders issued by the Division of Workers’ Compensation. The Directive also suspends strict compliance with the requirement that workers’ compensation insurers mail informational brochures pursuant to 440.185(3), and allows such insurers deliver the brochures by other means such as email of facsimile transfer</w:t>
      </w:r>
      <w:r w:rsidR="008F329E" w:rsidRPr="008231B2">
        <w:rPr>
          <w:rFonts w:cs="Arial"/>
          <w:color w:val="auto"/>
        </w:rPr>
        <w:t>.</w:t>
      </w:r>
      <w:r w:rsidR="00851952" w:rsidRPr="008231B2">
        <w:rPr>
          <w:rFonts w:cs="Arial"/>
          <w:color w:val="auto"/>
        </w:rPr>
        <w:t xml:space="preserve"> </w:t>
      </w:r>
    </w:p>
    <w:p w:rsidR="00851952" w:rsidRPr="008231B2" w:rsidRDefault="00851952" w:rsidP="00BA020B">
      <w:pPr>
        <w:pStyle w:val="Heading3"/>
        <w:numPr>
          <w:ilvl w:val="2"/>
          <w:numId w:val="2"/>
        </w:numPr>
        <w:rPr>
          <w:rFonts w:cs="Arial"/>
          <w:color w:val="auto"/>
        </w:rPr>
      </w:pPr>
      <w:r w:rsidRPr="008231B2">
        <w:rPr>
          <w:rFonts w:cs="Arial"/>
          <w:color w:val="auto"/>
        </w:rPr>
        <w:t>This order expired on June 26, 2021 with the expiration of EO 20-52.</w:t>
      </w:r>
    </w:p>
    <w:p w:rsidR="00BA020B" w:rsidRPr="008231B2" w:rsidRDefault="00FF71C6" w:rsidP="00851952">
      <w:pPr>
        <w:pStyle w:val="Heading3"/>
        <w:numPr>
          <w:ilvl w:val="1"/>
          <w:numId w:val="2"/>
        </w:numPr>
        <w:rPr>
          <w:rFonts w:cs="Arial"/>
          <w:color w:val="auto"/>
        </w:rPr>
      </w:pPr>
      <w:r w:rsidRPr="008231B2">
        <w:rPr>
          <w:rFonts w:cs="Arial"/>
          <w:color w:val="auto"/>
        </w:rPr>
        <w:t>OIR-20-05M</w:t>
      </w:r>
      <w:r w:rsidR="00EC1FD8" w:rsidRPr="008231B2">
        <w:rPr>
          <w:rFonts w:cs="Arial"/>
          <w:color w:val="auto"/>
        </w:rPr>
        <w:t xml:space="preserve"> </w:t>
      </w:r>
      <w:r w:rsidR="00BA020B" w:rsidRPr="008231B2">
        <w:rPr>
          <w:rFonts w:cs="Arial"/>
          <w:color w:val="auto"/>
        </w:rPr>
        <w:t xml:space="preserve">is an informational memorandum issued by the Florida Office of Insurance Regulation. </w:t>
      </w:r>
      <w:r w:rsidR="00BA020B" w:rsidRPr="008231B2">
        <w:rPr>
          <w:rFonts w:cs="Arial"/>
          <w:color w:val="auto"/>
        </w:rPr>
        <w:lastRenderedPageBreak/>
        <w:t>This memorandum served as guidance on the treatment of policyholders for insurers and entities regulated by the Florida Office of Insurance Regulation</w:t>
      </w:r>
      <w:r w:rsidR="00EC1FD8" w:rsidRPr="008231B2">
        <w:rPr>
          <w:rFonts w:cs="Arial"/>
          <w:color w:val="auto"/>
        </w:rPr>
        <w:t xml:space="preserve"> </w:t>
      </w:r>
      <w:r w:rsidR="00BA020B" w:rsidRPr="008231B2">
        <w:rPr>
          <w:rFonts w:cs="Arial"/>
          <w:color w:val="auto"/>
        </w:rPr>
        <w:t xml:space="preserve">whom are authorized </w:t>
      </w:r>
      <w:r w:rsidR="00EC1FD8" w:rsidRPr="008231B2">
        <w:rPr>
          <w:rFonts w:cs="Arial"/>
          <w:color w:val="auto"/>
        </w:rPr>
        <w:t xml:space="preserve">to write workers’ compensation insurance. </w:t>
      </w:r>
      <w:r w:rsidR="00BA020B" w:rsidRPr="008231B2">
        <w:rPr>
          <w:rFonts w:cs="Arial"/>
          <w:color w:val="auto"/>
        </w:rPr>
        <w:t xml:space="preserve">The memo provided information that </w:t>
      </w:r>
      <w:r w:rsidR="00EC1FD8" w:rsidRPr="008231B2">
        <w:rPr>
          <w:rFonts w:cs="Arial"/>
          <w:color w:val="auto"/>
        </w:rPr>
        <w:t>First responders, health care workers, and others that contract COVID-19 due to work-related exposure would be eligible for workers’ compensation benefits under Florida law. OIR reminds insurers of applicable statutes regarding workers’ compensation insurance and expects workers’ compensation insurers to comply with all of the provisions of Florida’s Workers’ Compensation Law and will take appropriate action in the event of non-compliance.</w:t>
      </w:r>
      <w:r w:rsidR="00851952" w:rsidRPr="008231B2">
        <w:rPr>
          <w:rFonts w:cs="Arial"/>
          <w:color w:val="auto"/>
        </w:rPr>
        <w:t xml:space="preserve"> </w:t>
      </w:r>
    </w:p>
    <w:p w:rsidR="00EC1FD8" w:rsidRPr="008231B2" w:rsidRDefault="008F329E" w:rsidP="00851952">
      <w:pPr>
        <w:pStyle w:val="Heading3"/>
        <w:keepNext/>
        <w:keepLines/>
        <w:rPr>
          <w:rFonts w:cs="Arial"/>
          <w:color w:val="auto"/>
        </w:rPr>
      </w:pPr>
      <w:r w:rsidRPr="008231B2">
        <w:rPr>
          <w:rFonts w:cs="Arial"/>
          <w:color w:val="auto"/>
        </w:rPr>
        <w:lastRenderedPageBreak/>
        <w:t>N</w:t>
      </w:r>
      <w:r w:rsidR="00D46591" w:rsidRPr="008231B2">
        <w:rPr>
          <w:rFonts w:cs="Arial"/>
          <w:color w:val="auto"/>
        </w:rPr>
        <w:t xml:space="preserve">umber of COVID claims in Florida </w:t>
      </w:r>
    </w:p>
    <w:p w:rsidR="00EC1FD8" w:rsidRPr="008231B2" w:rsidRDefault="00EC1FD8" w:rsidP="00851952">
      <w:pPr>
        <w:pStyle w:val="Heading3"/>
        <w:keepNext/>
        <w:keepLines/>
        <w:numPr>
          <w:ilvl w:val="1"/>
          <w:numId w:val="2"/>
        </w:numPr>
        <w:rPr>
          <w:rFonts w:cs="Arial"/>
          <w:color w:val="auto"/>
        </w:rPr>
      </w:pPr>
      <w:r w:rsidRPr="008231B2">
        <w:rPr>
          <w:rFonts w:cs="Arial"/>
          <w:color w:val="auto"/>
        </w:rPr>
        <w:t>The Florida Division of Workers’ Compensation 2022 COVID-19 Report for April 2022 provides the relevant data</w:t>
      </w:r>
      <w:r w:rsidR="0028055F">
        <w:rPr>
          <w:rFonts w:cs="Arial"/>
          <w:color w:val="auto"/>
        </w:rPr>
        <w:t>.</w:t>
      </w:r>
    </w:p>
    <w:p w:rsidR="00EC1FD8" w:rsidRPr="008231B2" w:rsidRDefault="00EC1FD8" w:rsidP="00851952">
      <w:pPr>
        <w:pStyle w:val="Heading3"/>
        <w:keepNext/>
        <w:keepLines/>
        <w:numPr>
          <w:ilvl w:val="2"/>
          <w:numId w:val="2"/>
        </w:numPr>
        <w:rPr>
          <w:rFonts w:cs="Arial"/>
          <w:color w:val="auto"/>
        </w:rPr>
      </w:pPr>
      <w:r w:rsidRPr="008231B2">
        <w:rPr>
          <w:rFonts w:cs="Arial"/>
          <w:color w:val="auto"/>
        </w:rPr>
        <w:t xml:space="preserve">As of March </w:t>
      </w:r>
      <w:r w:rsidR="00667307" w:rsidRPr="008231B2">
        <w:rPr>
          <w:rFonts w:cs="Arial"/>
          <w:color w:val="auto"/>
        </w:rPr>
        <w:t>31</w:t>
      </w:r>
      <w:r w:rsidR="00667307" w:rsidRPr="008231B2">
        <w:rPr>
          <w:rFonts w:cs="Arial"/>
          <w:color w:val="auto"/>
          <w:vertAlign w:val="superscript"/>
        </w:rPr>
        <w:t>st</w:t>
      </w:r>
      <w:r w:rsidR="00667307" w:rsidRPr="008231B2">
        <w:rPr>
          <w:rFonts w:cs="Arial"/>
          <w:color w:val="auto"/>
        </w:rPr>
        <w:t>,</w:t>
      </w:r>
      <w:r w:rsidRPr="008231B2">
        <w:rPr>
          <w:rFonts w:cs="Arial"/>
          <w:color w:val="auto"/>
        </w:rPr>
        <w:t xml:space="preserve"> 2022 there has been a total of 71,926 Indemnity claims for COVID-19.</w:t>
      </w:r>
    </w:p>
    <w:p w:rsidR="00EC1FD8" w:rsidRPr="008231B2" w:rsidRDefault="00EC1FD8" w:rsidP="00851952">
      <w:pPr>
        <w:pStyle w:val="Heading3"/>
        <w:keepNext/>
        <w:keepLines/>
        <w:numPr>
          <w:ilvl w:val="2"/>
          <w:numId w:val="2"/>
        </w:numPr>
        <w:rPr>
          <w:rFonts w:cs="Arial"/>
          <w:color w:val="auto"/>
        </w:rPr>
      </w:pPr>
      <w:r w:rsidRPr="008231B2">
        <w:rPr>
          <w:rFonts w:cs="Arial"/>
          <w:color w:val="auto"/>
        </w:rPr>
        <w:t>A total of $188,848,160 has been paid out for COVID-19 indemnity Claims.</w:t>
      </w:r>
    </w:p>
    <w:p w:rsidR="00EC1FD8" w:rsidRPr="008231B2" w:rsidRDefault="00EC1FD8" w:rsidP="00851952">
      <w:pPr>
        <w:pStyle w:val="Heading3"/>
        <w:keepNext/>
        <w:keepLines/>
        <w:numPr>
          <w:ilvl w:val="2"/>
          <w:numId w:val="2"/>
        </w:numPr>
        <w:rPr>
          <w:rFonts w:cs="Arial"/>
          <w:color w:val="auto"/>
        </w:rPr>
      </w:pPr>
      <w:r w:rsidRPr="008231B2">
        <w:rPr>
          <w:rFonts w:cs="Arial"/>
          <w:color w:val="auto"/>
        </w:rPr>
        <w:t xml:space="preserve">Total of 35,597 COVID-19 </w:t>
      </w:r>
      <w:r w:rsidR="008751F5" w:rsidRPr="008231B2">
        <w:rPr>
          <w:rFonts w:cs="Arial"/>
          <w:color w:val="auto"/>
        </w:rPr>
        <w:t xml:space="preserve">Indemnity </w:t>
      </w:r>
      <w:r w:rsidRPr="008231B2">
        <w:rPr>
          <w:rFonts w:cs="Arial"/>
          <w:color w:val="auto"/>
        </w:rPr>
        <w:t>Claims have been denied.</w:t>
      </w:r>
    </w:p>
    <w:p w:rsidR="008751F5" w:rsidRPr="008231B2" w:rsidRDefault="008751F5" w:rsidP="00851952">
      <w:pPr>
        <w:keepNext/>
        <w:keepLines/>
        <w:spacing w:after="0" w:line="240" w:lineRule="auto"/>
        <w:rPr>
          <w:rFonts w:ascii="Arial" w:hAnsi="Arial" w:cs="Arial"/>
        </w:rPr>
      </w:pPr>
      <w:r w:rsidRPr="008231B2">
        <w:rPr>
          <w:rFonts w:ascii="Arial" w:hAnsi="Arial" w:cs="Arial"/>
          <w:noProof/>
        </w:rPr>
        <w:drawing>
          <wp:inline distT="0" distB="0" distL="0" distR="0" wp14:anchorId="5A5D2038" wp14:editId="6D9A1DD6">
            <wp:extent cx="5943600" cy="3757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757295"/>
                    </a:xfrm>
                    <a:prstGeom prst="rect">
                      <a:avLst/>
                    </a:prstGeom>
                  </pic:spPr>
                </pic:pic>
              </a:graphicData>
            </a:graphic>
          </wp:inline>
        </w:drawing>
      </w:r>
    </w:p>
    <w:p w:rsidR="008751F5" w:rsidRPr="008231B2" w:rsidRDefault="008751F5" w:rsidP="00851952">
      <w:pPr>
        <w:keepNext/>
        <w:keepLines/>
        <w:spacing w:after="0" w:line="240" w:lineRule="auto"/>
        <w:rPr>
          <w:rFonts w:ascii="Arial" w:hAnsi="Arial" w:cs="Arial"/>
        </w:rPr>
      </w:pPr>
      <w:r w:rsidRPr="008231B2">
        <w:rPr>
          <w:rFonts w:ascii="Arial" w:hAnsi="Arial" w:cs="Arial"/>
        </w:rPr>
        <w:t>Source: Florida Division of Workers’ Compensation 2022 COVID-19 Report for April 2022</w:t>
      </w:r>
    </w:p>
    <w:p w:rsidR="008751F5" w:rsidRPr="008231B2" w:rsidRDefault="008751F5" w:rsidP="008F329E">
      <w:pPr>
        <w:spacing w:after="0" w:line="240" w:lineRule="auto"/>
        <w:rPr>
          <w:rFonts w:ascii="Arial" w:hAnsi="Arial" w:cs="Arial"/>
        </w:rPr>
      </w:pPr>
    </w:p>
    <w:p w:rsidR="00D46591" w:rsidRPr="008231B2" w:rsidRDefault="00E74440" w:rsidP="008F329E">
      <w:pPr>
        <w:pStyle w:val="Heading2"/>
        <w:rPr>
          <w:rFonts w:cs="Arial"/>
          <w:color w:val="auto"/>
        </w:rPr>
      </w:pPr>
      <w:r w:rsidRPr="008231B2">
        <w:rPr>
          <w:rFonts w:cs="Arial"/>
          <w:color w:val="auto"/>
        </w:rPr>
        <w:t>C</w:t>
      </w:r>
      <w:r w:rsidR="00D46591" w:rsidRPr="008231B2">
        <w:rPr>
          <w:rFonts w:cs="Arial"/>
          <w:color w:val="auto"/>
        </w:rPr>
        <w:t>urrent state of the Law.</w:t>
      </w:r>
    </w:p>
    <w:p w:rsidR="00530EA3" w:rsidRPr="008231B2" w:rsidRDefault="00530EA3" w:rsidP="008F329E">
      <w:pPr>
        <w:pStyle w:val="Heading3"/>
        <w:numPr>
          <w:ilvl w:val="0"/>
          <w:numId w:val="16"/>
        </w:numPr>
        <w:rPr>
          <w:rFonts w:eastAsia="Times New Roman" w:cs="Arial"/>
          <w:color w:val="auto"/>
        </w:rPr>
      </w:pPr>
      <w:r w:rsidRPr="008231B2">
        <w:rPr>
          <w:rFonts w:eastAsia="Times New Roman" w:cs="Arial"/>
          <w:color w:val="auto"/>
        </w:rPr>
        <w:t>Three bills were up for consideration during the last Session addressing the compensability of COVID-19.</w:t>
      </w:r>
    </w:p>
    <w:p w:rsidR="00530EA3" w:rsidRPr="008231B2" w:rsidRDefault="00530EA3" w:rsidP="008F329E">
      <w:pPr>
        <w:pStyle w:val="Heading3"/>
        <w:numPr>
          <w:ilvl w:val="1"/>
          <w:numId w:val="2"/>
        </w:numPr>
        <w:rPr>
          <w:rFonts w:eastAsia="Times New Roman" w:cs="Arial"/>
          <w:color w:val="auto"/>
        </w:rPr>
      </w:pPr>
      <w:r w:rsidRPr="008231B2">
        <w:rPr>
          <w:rFonts w:eastAsia="Times New Roman" w:cs="Arial"/>
          <w:color w:val="auto"/>
        </w:rPr>
        <w:t>H.B. 53, H.B. 117, and S.B. 774</w:t>
      </w:r>
    </w:p>
    <w:p w:rsidR="00530EA3" w:rsidRPr="008231B2" w:rsidRDefault="00530EA3" w:rsidP="008F329E">
      <w:pPr>
        <w:pStyle w:val="Heading3"/>
        <w:numPr>
          <w:ilvl w:val="2"/>
          <w:numId w:val="2"/>
        </w:numPr>
        <w:rPr>
          <w:rFonts w:eastAsia="Times New Roman" w:cs="Arial"/>
          <w:color w:val="auto"/>
        </w:rPr>
      </w:pPr>
      <w:r w:rsidRPr="008231B2">
        <w:rPr>
          <w:rStyle w:val="Heading3Char"/>
          <w:rFonts w:cs="Arial"/>
          <w:color w:val="auto"/>
        </w:rPr>
        <w:t>Each of these bills had similar summaries: “Provides presumption to specified workers that impairment of health caused by COVID-19</w:t>
      </w:r>
      <w:r w:rsidRPr="008231B2">
        <w:rPr>
          <w:rFonts w:eastAsia="Times New Roman" w:cs="Arial"/>
          <w:color w:val="auto"/>
        </w:rPr>
        <w:t xml:space="preserve"> or infectious disease happened in line of duty; requires certain actions in order to be entitled to presumption; requires emergency rescue or public safety workers to file incident or accident report under certain conditions.”</w:t>
      </w:r>
    </w:p>
    <w:p w:rsidR="000F08B6" w:rsidRPr="008231B2" w:rsidRDefault="00530EA3" w:rsidP="008F329E">
      <w:pPr>
        <w:pStyle w:val="Heading3"/>
        <w:rPr>
          <w:rFonts w:eastAsia="Times New Roman" w:cs="Arial"/>
          <w:color w:val="auto"/>
        </w:rPr>
      </w:pPr>
      <w:r w:rsidRPr="008231B2">
        <w:rPr>
          <w:rFonts w:cs="Arial"/>
          <w:color w:val="auto"/>
        </w:rPr>
        <w:lastRenderedPageBreak/>
        <w:t xml:space="preserve">H.B. 53 was </w:t>
      </w:r>
      <w:r w:rsidR="000F08B6" w:rsidRPr="008231B2">
        <w:rPr>
          <w:rFonts w:cs="Arial"/>
          <w:color w:val="auto"/>
        </w:rPr>
        <w:t>filed</w:t>
      </w:r>
      <w:r w:rsidRPr="008231B2">
        <w:rPr>
          <w:rFonts w:cs="Arial"/>
          <w:color w:val="auto"/>
        </w:rPr>
        <w:t xml:space="preserve"> on 8/27/2</w:t>
      </w:r>
      <w:r w:rsidR="000F08B6" w:rsidRPr="008231B2">
        <w:rPr>
          <w:rFonts w:cs="Arial"/>
          <w:color w:val="auto"/>
        </w:rPr>
        <w:t xml:space="preserve">021, and subsequently withdrawn on 9/14/2021. </w:t>
      </w:r>
      <w:r w:rsidRPr="008231B2">
        <w:rPr>
          <w:rFonts w:eastAsia="Times New Roman" w:cs="Arial"/>
          <w:color w:val="auto"/>
        </w:rPr>
        <w:t>Two days later on 09/16/2021 H.B. 117 was filed</w:t>
      </w:r>
      <w:r w:rsidR="000F08B6" w:rsidRPr="008231B2">
        <w:rPr>
          <w:rFonts w:eastAsia="Times New Roman" w:cs="Arial"/>
          <w:color w:val="auto"/>
        </w:rPr>
        <w:t>.</w:t>
      </w:r>
    </w:p>
    <w:p w:rsidR="00530EA3" w:rsidRPr="008231B2" w:rsidRDefault="000F08B6" w:rsidP="000F08B6">
      <w:pPr>
        <w:pStyle w:val="Heading3"/>
        <w:numPr>
          <w:ilvl w:val="1"/>
          <w:numId w:val="2"/>
        </w:numPr>
        <w:rPr>
          <w:rFonts w:eastAsia="Times New Roman" w:cs="Arial"/>
          <w:color w:val="auto"/>
        </w:rPr>
      </w:pPr>
      <w:r w:rsidRPr="008231B2">
        <w:rPr>
          <w:rFonts w:cs="Arial"/>
          <w:color w:val="auto"/>
        </w:rPr>
        <w:t>The difference between the two bills was the first bill required vaccination as a condition for benefits.</w:t>
      </w:r>
    </w:p>
    <w:p w:rsidR="00530EA3" w:rsidRPr="008231B2" w:rsidRDefault="00530EA3" w:rsidP="008F329E">
      <w:pPr>
        <w:pStyle w:val="Heading3"/>
        <w:rPr>
          <w:rFonts w:eastAsia="Times New Roman" w:cs="Arial"/>
          <w:color w:val="auto"/>
        </w:rPr>
      </w:pPr>
      <w:r w:rsidRPr="008231B2">
        <w:rPr>
          <w:rFonts w:eastAsia="Times New Roman" w:cs="Arial"/>
          <w:color w:val="auto"/>
        </w:rPr>
        <w:t xml:space="preserve">H.B. </w:t>
      </w:r>
      <w:r w:rsidRPr="008231B2">
        <w:rPr>
          <w:rFonts w:cs="Arial"/>
          <w:color w:val="auto"/>
        </w:rPr>
        <w:t xml:space="preserve">117 was </w:t>
      </w:r>
      <w:r w:rsidR="000F08B6" w:rsidRPr="008231B2">
        <w:rPr>
          <w:rFonts w:cs="Arial"/>
          <w:color w:val="auto"/>
        </w:rPr>
        <w:t>filed</w:t>
      </w:r>
      <w:r w:rsidRPr="008231B2">
        <w:rPr>
          <w:rFonts w:cs="Arial"/>
          <w:color w:val="auto"/>
        </w:rPr>
        <w:t xml:space="preserve"> on 09/16/2021, and subsequently the bill died in the government operations</w:t>
      </w:r>
      <w:r w:rsidRPr="008231B2">
        <w:rPr>
          <w:rFonts w:eastAsia="Times New Roman" w:cs="Arial"/>
          <w:color w:val="auto"/>
        </w:rPr>
        <w:t xml:space="preserve"> subcommittee on 03/14/2022.</w:t>
      </w:r>
    </w:p>
    <w:p w:rsidR="00530EA3" w:rsidRPr="008231B2" w:rsidRDefault="00530EA3" w:rsidP="008F329E">
      <w:pPr>
        <w:pStyle w:val="Heading3"/>
        <w:numPr>
          <w:ilvl w:val="1"/>
          <w:numId w:val="2"/>
        </w:numPr>
        <w:rPr>
          <w:rFonts w:eastAsia="Times New Roman" w:cs="Arial"/>
          <w:color w:val="auto"/>
        </w:rPr>
      </w:pPr>
      <w:r w:rsidRPr="008231B2">
        <w:rPr>
          <w:rFonts w:eastAsia="Times New Roman" w:cs="Arial"/>
          <w:color w:val="auto"/>
        </w:rPr>
        <w:t xml:space="preserve">H.B. 117 attempted to amend </w:t>
      </w:r>
      <w:r w:rsidR="00794151">
        <w:rPr>
          <w:rFonts w:cs="Arial"/>
          <w:color w:val="auto"/>
        </w:rPr>
        <w:t xml:space="preserve">FS </w:t>
      </w:r>
      <w:r w:rsidR="00794151" w:rsidRPr="008231B2">
        <w:rPr>
          <w:rFonts w:cs="Arial"/>
          <w:color w:val="auto"/>
        </w:rPr>
        <w:t xml:space="preserve">§ </w:t>
      </w:r>
      <w:r w:rsidR="000F08B6" w:rsidRPr="008231B2">
        <w:rPr>
          <w:rFonts w:eastAsia="Times New Roman" w:cs="Arial"/>
          <w:color w:val="auto"/>
        </w:rPr>
        <w:t>112.181 Subsections</w:t>
      </w:r>
      <w:r w:rsidRPr="008231B2">
        <w:rPr>
          <w:rFonts w:eastAsia="Times New Roman" w:cs="Arial"/>
          <w:color w:val="auto"/>
        </w:rPr>
        <w:t xml:space="preserve"> (1), (2), and (5) and paragraph (a) of subsection (6)</w:t>
      </w:r>
    </w:p>
    <w:p w:rsidR="00530EA3" w:rsidRPr="008231B2" w:rsidRDefault="00530EA3" w:rsidP="008F329E">
      <w:pPr>
        <w:pStyle w:val="Heading3"/>
        <w:numPr>
          <w:ilvl w:val="2"/>
          <w:numId w:val="2"/>
        </w:numPr>
        <w:rPr>
          <w:rFonts w:eastAsia="Times New Roman" w:cs="Arial"/>
          <w:color w:val="auto"/>
        </w:rPr>
      </w:pPr>
      <w:r w:rsidRPr="008231B2">
        <w:rPr>
          <w:rFonts w:eastAsia="Times New Roman" w:cs="Arial"/>
          <w:color w:val="auto"/>
        </w:rPr>
        <w:t>Added language “and infectious” to types of diseases this statute covers.</w:t>
      </w:r>
    </w:p>
    <w:p w:rsidR="00530EA3" w:rsidRPr="008231B2" w:rsidRDefault="00530EA3" w:rsidP="008F329E">
      <w:pPr>
        <w:pStyle w:val="Heading3"/>
        <w:numPr>
          <w:ilvl w:val="2"/>
          <w:numId w:val="2"/>
        </w:numPr>
        <w:rPr>
          <w:rFonts w:eastAsia="Times New Roman" w:cs="Arial"/>
          <w:color w:val="auto"/>
        </w:rPr>
      </w:pPr>
      <w:r w:rsidRPr="008231B2">
        <w:rPr>
          <w:rFonts w:eastAsia="Times New Roman" w:cs="Arial"/>
          <w:color w:val="auto"/>
        </w:rPr>
        <w:t>Subsection (1) added language including “COVID-19” in the definition of the term “Body fluids”</w:t>
      </w:r>
    </w:p>
    <w:p w:rsidR="00530EA3" w:rsidRPr="008231B2" w:rsidRDefault="00530EA3" w:rsidP="008F329E">
      <w:pPr>
        <w:pStyle w:val="Heading3"/>
        <w:numPr>
          <w:ilvl w:val="2"/>
          <w:numId w:val="2"/>
        </w:numPr>
        <w:rPr>
          <w:rFonts w:eastAsia="Times New Roman" w:cs="Arial"/>
          <w:color w:val="auto"/>
        </w:rPr>
      </w:pPr>
      <w:r w:rsidRPr="008231B2">
        <w:rPr>
          <w:rFonts w:eastAsia="Times New Roman" w:cs="Arial"/>
          <w:color w:val="auto"/>
        </w:rPr>
        <w:t>Subsection 1(b) added “COVID-19” has the same meaning as in FS 768.381(1)</w:t>
      </w:r>
    </w:p>
    <w:p w:rsidR="00530EA3" w:rsidRPr="008231B2" w:rsidRDefault="00530EA3" w:rsidP="008F329E">
      <w:pPr>
        <w:pStyle w:val="Heading3"/>
        <w:numPr>
          <w:ilvl w:val="2"/>
          <w:numId w:val="2"/>
        </w:numPr>
        <w:rPr>
          <w:rFonts w:eastAsia="Times New Roman" w:cs="Arial"/>
          <w:color w:val="auto"/>
        </w:rPr>
      </w:pPr>
      <w:r w:rsidRPr="008231B2">
        <w:rPr>
          <w:rFonts w:eastAsia="Times New Roman" w:cs="Arial"/>
          <w:color w:val="auto"/>
        </w:rPr>
        <w:t xml:space="preserve">Subsection 1(f) “infectious disease” means any condition or impairment of health caused by a disease that has been declared a public health emergency in accordance with </w:t>
      </w:r>
      <w:r w:rsidR="00794151">
        <w:rPr>
          <w:rFonts w:cs="Arial"/>
          <w:color w:val="auto"/>
        </w:rPr>
        <w:t xml:space="preserve">FS </w:t>
      </w:r>
      <w:r w:rsidR="00794151" w:rsidRPr="008231B2">
        <w:rPr>
          <w:rFonts w:cs="Arial"/>
          <w:color w:val="auto"/>
        </w:rPr>
        <w:t xml:space="preserve">§ </w:t>
      </w:r>
      <w:r w:rsidRPr="008231B2">
        <w:rPr>
          <w:rFonts w:eastAsia="Times New Roman" w:cs="Arial"/>
          <w:color w:val="auto"/>
        </w:rPr>
        <w:t>381.00315.</w:t>
      </w:r>
    </w:p>
    <w:p w:rsidR="00530EA3" w:rsidRPr="008231B2" w:rsidRDefault="00530EA3" w:rsidP="008F329E">
      <w:pPr>
        <w:pStyle w:val="Heading3"/>
        <w:numPr>
          <w:ilvl w:val="2"/>
          <w:numId w:val="2"/>
        </w:numPr>
        <w:rPr>
          <w:rFonts w:eastAsia="Times New Roman" w:cs="Arial"/>
          <w:color w:val="auto"/>
        </w:rPr>
      </w:pPr>
      <w:r w:rsidRPr="008231B2">
        <w:rPr>
          <w:rFonts w:eastAsia="Times New Roman" w:cs="Arial"/>
          <w:color w:val="auto"/>
        </w:rPr>
        <w:t>(d) In the case of COVID-19, in the 14 days immediately preceding diagnosis he or she was not exposed, outside the scope of his or her employment, to any person known to have COVID-19.</w:t>
      </w:r>
    </w:p>
    <w:p w:rsidR="00530EA3" w:rsidRPr="008231B2" w:rsidRDefault="00530EA3" w:rsidP="008F329E">
      <w:pPr>
        <w:pStyle w:val="Heading3"/>
        <w:numPr>
          <w:ilvl w:val="2"/>
          <w:numId w:val="2"/>
        </w:numPr>
        <w:rPr>
          <w:rFonts w:eastAsia="Times New Roman" w:cs="Arial"/>
          <w:color w:val="auto"/>
        </w:rPr>
      </w:pPr>
      <w:r w:rsidRPr="008231B2">
        <w:rPr>
          <w:rFonts w:eastAsia="Times New Roman" w:cs="Arial"/>
          <w:color w:val="auto"/>
        </w:rPr>
        <w:t>(e) In the case of an infectious disease, he or she contracted the infectious disease during a public health emergency declared in accordance with s. 381.00315 and was not exposed, outside of the scope of his or her employment, to any person known to have the infectious disease.</w:t>
      </w:r>
    </w:p>
    <w:p w:rsidR="00530EA3" w:rsidRPr="008231B2" w:rsidRDefault="00530EA3" w:rsidP="008F329E">
      <w:pPr>
        <w:pStyle w:val="Heading3"/>
        <w:numPr>
          <w:ilvl w:val="2"/>
          <w:numId w:val="2"/>
        </w:numPr>
        <w:rPr>
          <w:rFonts w:eastAsia="Times New Roman" w:cs="Arial"/>
          <w:color w:val="auto"/>
        </w:rPr>
      </w:pPr>
      <w:r w:rsidRPr="008231B2">
        <w:rPr>
          <w:rFonts w:eastAsia="Times New Roman" w:cs="Arial"/>
          <w:color w:val="auto"/>
        </w:rPr>
        <w:t>Subsection 1(g) added “COVID-19, or infectious decease” to the definition of “Occupational exposure”</w:t>
      </w:r>
    </w:p>
    <w:p w:rsidR="00530EA3" w:rsidRPr="008231B2" w:rsidRDefault="00530EA3" w:rsidP="008F329E">
      <w:pPr>
        <w:pStyle w:val="Heading3"/>
        <w:numPr>
          <w:ilvl w:val="2"/>
          <w:numId w:val="2"/>
        </w:numPr>
        <w:rPr>
          <w:rFonts w:eastAsia="Times New Roman" w:cs="Arial"/>
          <w:color w:val="auto"/>
        </w:rPr>
      </w:pPr>
      <w:r w:rsidRPr="008231B2">
        <w:rPr>
          <w:rFonts w:eastAsia="Times New Roman" w:cs="Arial"/>
          <w:color w:val="auto"/>
        </w:rPr>
        <w:t xml:space="preserve">Subsection 2 added “COVID-19, or an infectious disease” as a condition than can be suffered by the worker for the presumption that an emergency rescue or public safety </w:t>
      </w:r>
      <w:r w:rsidRPr="008231B2">
        <w:rPr>
          <w:rFonts w:eastAsia="Times New Roman" w:cs="Arial"/>
          <w:color w:val="auto"/>
        </w:rPr>
        <w:lastRenderedPageBreak/>
        <w:t>worker is presumed to have a disability suffered in the line of duty.</w:t>
      </w:r>
    </w:p>
    <w:p w:rsidR="00530EA3" w:rsidRPr="008231B2" w:rsidRDefault="00530EA3" w:rsidP="008F329E">
      <w:pPr>
        <w:pStyle w:val="Heading3"/>
        <w:numPr>
          <w:ilvl w:val="3"/>
          <w:numId w:val="2"/>
        </w:numPr>
        <w:rPr>
          <w:rFonts w:eastAsia="Times New Roman" w:cs="Arial"/>
          <w:color w:val="auto"/>
        </w:rPr>
      </w:pPr>
      <w:r w:rsidRPr="008231B2">
        <w:rPr>
          <w:rFonts w:eastAsia="Times New Roman" w:cs="Arial"/>
          <w:color w:val="auto"/>
        </w:rPr>
        <w:t xml:space="preserve">Also added </w:t>
      </w:r>
      <w:r w:rsidR="00316796" w:rsidRPr="008231B2">
        <w:rPr>
          <w:rFonts w:eastAsia="Times New Roman" w:cs="Arial"/>
          <w:color w:val="auto"/>
        </w:rPr>
        <w:t>worker must</w:t>
      </w:r>
      <w:r w:rsidRPr="008231B2">
        <w:rPr>
          <w:rFonts w:eastAsia="Times New Roman" w:cs="Arial"/>
          <w:color w:val="auto"/>
        </w:rPr>
        <w:t xml:space="preserve"> provide an affidavit affirming that the previous 14 days worker was not exposed outside of employment to COVID-19 or an infectious disease.</w:t>
      </w:r>
    </w:p>
    <w:p w:rsidR="00530EA3" w:rsidRPr="008231B2" w:rsidRDefault="00530EA3" w:rsidP="008F329E">
      <w:pPr>
        <w:pStyle w:val="Heading3"/>
        <w:numPr>
          <w:ilvl w:val="2"/>
          <w:numId w:val="2"/>
        </w:numPr>
        <w:rPr>
          <w:rFonts w:eastAsia="Times New Roman" w:cs="Arial"/>
          <w:color w:val="auto"/>
        </w:rPr>
      </w:pPr>
      <w:r w:rsidRPr="008231B2">
        <w:rPr>
          <w:rFonts w:eastAsia="Times New Roman" w:cs="Arial"/>
          <w:color w:val="auto"/>
        </w:rPr>
        <w:t>Subsection 5 added the requirement that the worker shall file an incident report if suspected occupational exposure to “COVD-19, or an infectious disease”</w:t>
      </w:r>
    </w:p>
    <w:p w:rsidR="00530EA3" w:rsidRPr="008231B2" w:rsidRDefault="00530EA3" w:rsidP="008F329E">
      <w:pPr>
        <w:pStyle w:val="Heading3"/>
        <w:numPr>
          <w:ilvl w:val="2"/>
          <w:numId w:val="2"/>
        </w:numPr>
        <w:rPr>
          <w:rFonts w:eastAsia="Times New Roman" w:cs="Arial"/>
          <w:color w:val="auto"/>
        </w:rPr>
      </w:pPr>
      <w:r w:rsidRPr="008231B2">
        <w:rPr>
          <w:rFonts w:eastAsia="Times New Roman" w:cs="Arial"/>
          <w:color w:val="auto"/>
        </w:rPr>
        <w:t>Subsection 6 which requires medical tests and pre</w:t>
      </w:r>
      <w:r w:rsidR="003A3BF3" w:rsidRPr="008231B2">
        <w:rPr>
          <w:rFonts w:eastAsia="Times New Roman" w:cs="Arial"/>
          <w:color w:val="auto"/>
        </w:rPr>
        <w:t>-</w:t>
      </w:r>
      <w:r w:rsidRPr="008231B2">
        <w:rPr>
          <w:rFonts w:eastAsia="Times New Roman" w:cs="Arial"/>
          <w:color w:val="auto"/>
        </w:rPr>
        <w:t xml:space="preserve">employment physicals to be entitled to the presumption provided by this section, was amended to exclude “COVID-19, or an infectious disease” from the requirements of a pre-employment physical. </w:t>
      </w:r>
    </w:p>
    <w:p w:rsidR="00530EA3" w:rsidRPr="008231B2" w:rsidRDefault="00530EA3" w:rsidP="008F329E">
      <w:pPr>
        <w:pStyle w:val="Heading3"/>
        <w:numPr>
          <w:ilvl w:val="2"/>
          <w:numId w:val="2"/>
        </w:numPr>
        <w:rPr>
          <w:rFonts w:eastAsia="Times New Roman" w:cs="Arial"/>
          <w:color w:val="auto"/>
        </w:rPr>
      </w:pPr>
      <w:r w:rsidRPr="008231B2">
        <w:rPr>
          <w:rFonts w:eastAsia="Times New Roman" w:cs="Arial"/>
          <w:color w:val="auto"/>
        </w:rPr>
        <w:t>H.B. 117 History</w:t>
      </w:r>
    </w:p>
    <w:p w:rsidR="00530EA3" w:rsidRPr="008231B2" w:rsidRDefault="00530EA3" w:rsidP="008F329E">
      <w:pPr>
        <w:pStyle w:val="Heading3"/>
        <w:numPr>
          <w:ilvl w:val="3"/>
          <w:numId w:val="2"/>
        </w:numPr>
        <w:rPr>
          <w:rFonts w:eastAsia="Times New Roman" w:cs="Arial"/>
          <w:color w:val="auto"/>
        </w:rPr>
      </w:pPr>
      <w:r w:rsidRPr="008231B2">
        <w:rPr>
          <w:rFonts w:eastAsia="Times New Roman" w:cs="Arial"/>
          <w:color w:val="auto"/>
        </w:rPr>
        <w:t>09/16/2021 (H) * FILED</w:t>
      </w:r>
    </w:p>
    <w:p w:rsidR="00530EA3" w:rsidRPr="008231B2" w:rsidRDefault="00530EA3" w:rsidP="008F329E">
      <w:pPr>
        <w:pStyle w:val="Heading3"/>
        <w:numPr>
          <w:ilvl w:val="3"/>
          <w:numId w:val="2"/>
        </w:numPr>
        <w:rPr>
          <w:rFonts w:eastAsia="Times New Roman" w:cs="Arial"/>
          <w:color w:val="auto"/>
        </w:rPr>
      </w:pPr>
      <w:r w:rsidRPr="008231B2">
        <w:rPr>
          <w:rFonts w:eastAsia="Times New Roman" w:cs="Arial"/>
          <w:color w:val="auto"/>
        </w:rPr>
        <w:t>03/12/2022 (H) * INDEFINITELY POSTPONED AND WITHDRAWN FROM CONSIDERATION</w:t>
      </w:r>
    </w:p>
    <w:p w:rsidR="00530EA3" w:rsidRPr="008231B2" w:rsidRDefault="00530EA3" w:rsidP="008F329E">
      <w:pPr>
        <w:pStyle w:val="Heading3"/>
        <w:numPr>
          <w:ilvl w:val="3"/>
          <w:numId w:val="2"/>
        </w:numPr>
        <w:rPr>
          <w:rFonts w:eastAsia="Times New Roman" w:cs="Arial"/>
          <w:color w:val="auto"/>
        </w:rPr>
      </w:pPr>
      <w:r w:rsidRPr="008231B2">
        <w:rPr>
          <w:rFonts w:eastAsia="Times New Roman" w:cs="Arial"/>
          <w:color w:val="auto"/>
        </w:rPr>
        <w:t>03/14/2022 (H) * DIED IN GOVERNMENT OPERATIONS SUBCOMMITTEE</w:t>
      </w:r>
    </w:p>
    <w:p w:rsidR="00530EA3" w:rsidRPr="008231B2" w:rsidRDefault="00530EA3" w:rsidP="008F329E">
      <w:pPr>
        <w:pStyle w:val="Heading3"/>
        <w:rPr>
          <w:rFonts w:eastAsia="Times New Roman" w:cs="Arial"/>
          <w:color w:val="auto"/>
        </w:rPr>
      </w:pPr>
      <w:r w:rsidRPr="008231B2">
        <w:rPr>
          <w:rFonts w:eastAsia="Times New Roman" w:cs="Arial"/>
          <w:color w:val="auto"/>
        </w:rPr>
        <w:t xml:space="preserve">Related bill S.B. 774: Communicable and Infectious Diseases </w:t>
      </w:r>
    </w:p>
    <w:p w:rsidR="000F08B6" w:rsidRPr="008231B2" w:rsidRDefault="00530EA3" w:rsidP="000F08B6">
      <w:pPr>
        <w:pStyle w:val="Heading3"/>
        <w:numPr>
          <w:ilvl w:val="1"/>
          <w:numId w:val="2"/>
        </w:numPr>
        <w:rPr>
          <w:rFonts w:eastAsia="Times New Roman" w:cs="Arial"/>
          <w:color w:val="auto"/>
        </w:rPr>
      </w:pPr>
      <w:r w:rsidRPr="008231B2">
        <w:rPr>
          <w:rFonts w:eastAsia="Times New Roman" w:cs="Arial"/>
          <w:color w:val="auto"/>
        </w:rPr>
        <w:t>S.B. 774 was a mirror image of H.B. filed in the house. This bill was filed on 11/02/2021 and subsequently died the same time as H.B. 117 on 03/14/2022.</w:t>
      </w:r>
      <w:r w:rsidR="000F08B6" w:rsidRPr="008231B2">
        <w:rPr>
          <w:rFonts w:eastAsia="Times New Roman" w:cs="Arial"/>
          <w:color w:val="auto"/>
        </w:rPr>
        <w:t xml:space="preserve"> </w:t>
      </w:r>
    </w:p>
    <w:p w:rsidR="000F08B6" w:rsidRPr="008231B2" w:rsidRDefault="000F08B6" w:rsidP="003A3BF3">
      <w:pPr>
        <w:pStyle w:val="Heading3"/>
        <w:rPr>
          <w:rFonts w:eastAsia="Times New Roman" w:cs="Arial"/>
          <w:color w:val="auto"/>
        </w:rPr>
      </w:pPr>
      <w:r w:rsidRPr="008231B2">
        <w:rPr>
          <w:rFonts w:eastAsia="Times New Roman" w:cs="Arial"/>
          <w:color w:val="auto"/>
        </w:rPr>
        <w:t xml:space="preserve">The </w:t>
      </w:r>
      <w:r w:rsidR="003A3BF3" w:rsidRPr="008231B2">
        <w:rPr>
          <w:rFonts w:eastAsia="Times New Roman" w:cs="Arial"/>
          <w:color w:val="auto"/>
        </w:rPr>
        <w:t xml:space="preserve">statute </w:t>
      </w:r>
      <w:r w:rsidR="000C319F" w:rsidRPr="008231B2">
        <w:rPr>
          <w:rFonts w:eastAsia="Times New Roman" w:cs="Arial"/>
          <w:color w:val="auto"/>
        </w:rPr>
        <w:t>governing</w:t>
      </w:r>
      <w:r w:rsidR="003A3BF3" w:rsidRPr="008231B2">
        <w:rPr>
          <w:rFonts w:eastAsia="Times New Roman" w:cs="Arial"/>
          <w:color w:val="auto"/>
        </w:rPr>
        <w:t xml:space="preserve"> exposure and occupational diseases remains unchanged.</w:t>
      </w:r>
    </w:p>
    <w:sectPr w:rsidR="000F08B6" w:rsidRPr="008231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293" w:rsidRDefault="00CA6293" w:rsidP="00D46591">
      <w:pPr>
        <w:spacing w:after="0" w:line="240" w:lineRule="auto"/>
      </w:pPr>
      <w:r>
        <w:separator/>
      </w:r>
    </w:p>
  </w:endnote>
  <w:endnote w:type="continuationSeparator" w:id="0">
    <w:p w:rsidR="00CA6293" w:rsidRDefault="00CA6293" w:rsidP="00D4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293" w:rsidRDefault="00CA6293" w:rsidP="00D46591">
      <w:pPr>
        <w:spacing w:after="0" w:line="240" w:lineRule="auto"/>
      </w:pPr>
      <w:r>
        <w:separator/>
      </w:r>
    </w:p>
  </w:footnote>
  <w:footnote w:type="continuationSeparator" w:id="0">
    <w:p w:rsidR="00CA6293" w:rsidRDefault="00CA6293" w:rsidP="00D46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62DB"/>
    <w:multiLevelType w:val="hybridMultilevel"/>
    <w:tmpl w:val="A9B4F3D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718BB"/>
    <w:multiLevelType w:val="hybridMultilevel"/>
    <w:tmpl w:val="7660E3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758CC"/>
    <w:multiLevelType w:val="hybridMultilevel"/>
    <w:tmpl w:val="7FE4E066"/>
    <w:lvl w:ilvl="0" w:tplc="7308557E">
      <w:start w:val="1"/>
      <w:numFmt w:val="upperLetter"/>
      <w:pStyle w:val="Heading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44B2EDC"/>
    <w:multiLevelType w:val="hybridMultilevel"/>
    <w:tmpl w:val="8C52A4AA"/>
    <w:lvl w:ilvl="0" w:tplc="86BC808E">
      <w:start w:val="4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C1B75"/>
    <w:multiLevelType w:val="hybridMultilevel"/>
    <w:tmpl w:val="438E2DE8"/>
    <w:lvl w:ilvl="0" w:tplc="6BC846B6">
      <w:start w:val="1"/>
      <w:numFmt w:val="decimal"/>
      <w:pStyle w:val="Heading3"/>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BA2FA4"/>
    <w:multiLevelType w:val="hybridMultilevel"/>
    <w:tmpl w:val="CECA924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846A3"/>
    <w:multiLevelType w:val="hybridMultilevel"/>
    <w:tmpl w:val="23ACB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67595"/>
    <w:multiLevelType w:val="hybridMultilevel"/>
    <w:tmpl w:val="4E0A2D1C"/>
    <w:lvl w:ilvl="0" w:tplc="5A40D34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7"/>
  </w:num>
  <w:num w:numId="5">
    <w:abstractNumId w:val="2"/>
    <w:lvlOverride w:ilvl="0">
      <w:startOverride w:val="1"/>
    </w:lvlOverride>
  </w:num>
  <w:num w:numId="6">
    <w:abstractNumId w:val="2"/>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2"/>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6"/>
  </w:num>
  <w:num w:numId="14">
    <w:abstractNumId w:val="4"/>
    <w:lvlOverride w:ilvl="0">
      <w:startOverride w:val="1"/>
    </w:lvlOverride>
  </w:num>
  <w:num w:numId="15">
    <w:abstractNumId w:val="0"/>
  </w:num>
  <w:num w:numId="16">
    <w:abstractNumId w:val="4"/>
    <w:lvlOverride w:ilvl="0">
      <w:startOverride w:val="1"/>
    </w:lvlOverride>
  </w:num>
  <w:num w:numId="17">
    <w:abstractNumId w:val="5"/>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91"/>
    <w:rsid w:val="000509F9"/>
    <w:rsid w:val="000C319F"/>
    <w:rsid w:val="000E0CFC"/>
    <w:rsid w:val="000E3AED"/>
    <w:rsid w:val="000F08B6"/>
    <w:rsid w:val="00133A21"/>
    <w:rsid w:val="00163B8F"/>
    <w:rsid w:val="00172E6C"/>
    <w:rsid w:val="00210209"/>
    <w:rsid w:val="0028055F"/>
    <w:rsid w:val="00316796"/>
    <w:rsid w:val="0036330A"/>
    <w:rsid w:val="00377032"/>
    <w:rsid w:val="003A3BF3"/>
    <w:rsid w:val="00424D11"/>
    <w:rsid w:val="0043256D"/>
    <w:rsid w:val="004D2142"/>
    <w:rsid w:val="00530EA3"/>
    <w:rsid w:val="0057731B"/>
    <w:rsid w:val="005B0E66"/>
    <w:rsid w:val="005F292D"/>
    <w:rsid w:val="00630698"/>
    <w:rsid w:val="00641D0A"/>
    <w:rsid w:val="00667307"/>
    <w:rsid w:val="006772C6"/>
    <w:rsid w:val="006B074A"/>
    <w:rsid w:val="006C0CF3"/>
    <w:rsid w:val="006E7008"/>
    <w:rsid w:val="00794151"/>
    <w:rsid w:val="007C0559"/>
    <w:rsid w:val="008064D8"/>
    <w:rsid w:val="008231B2"/>
    <w:rsid w:val="008374E2"/>
    <w:rsid w:val="00851952"/>
    <w:rsid w:val="008751F5"/>
    <w:rsid w:val="008818B4"/>
    <w:rsid w:val="0089329D"/>
    <w:rsid w:val="008D679C"/>
    <w:rsid w:val="008F329E"/>
    <w:rsid w:val="008F4360"/>
    <w:rsid w:val="00A1089E"/>
    <w:rsid w:val="00A37DEF"/>
    <w:rsid w:val="00AB29BB"/>
    <w:rsid w:val="00AB7604"/>
    <w:rsid w:val="00B561A6"/>
    <w:rsid w:val="00B67113"/>
    <w:rsid w:val="00BA020B"/>
    <w:rsid w:val="00BB08F9"/>
    <w:rsid w:val="00BB4012"/>
    <w:rsid w:val="00BB70EC"/>
    <w:rsid w:val="00BC115A"/>
    <w:rsid w:val="00BD1828"/>
    <w:rsid w:val="00BE6125"/>
    <w:rsid w:val="00C852CA"/>
    <w:rsid w:val="00C9077E"/>
    <w:rsid w:val="00CA6293"/>
    <w:rsid w:val="00CB3580"/>
    <w:rsid w:val="00CE535F"/>
    <w:rsid w:val="00D23619"/>
    <w:rsid w:val="00D46591"/>
    <w:rsid w:val="00DD70D3"/>
    <w:rsid w:val="00E720ED"/>
    <w:rsid w:val="00E74440"/>
    <w:rsid w:val="00E750B8"/>
    <w:rsid w:val="00EC1FD8"/>
    <w:rsid w:val="00EE6174"/>
    <w:rsid w:val="00F26E01"/>
    <w:rsid w:val="00F31D22"/>
    <w:rsid w:val="00F537B5"/>
    <w:rsid w:val="00F56112"/>
    <w:rsid w:val="00FF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06B6A-1B32-4126-B82A-F25A4B63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329E"/>
    <w:pPr>
      <w:numPr>
        <w:numId w:val="4"/>
      </w:numPr>
      <w:spacing w:before="240" w:after="0"/>
      <w:outlineLvl w:val="0"/>
    </w:pPr>
    <w:rPr>
      <w:rFonts w:ascii="Arial" w:eastAsiaTheme="majorEastAsia" w:hAnsi="Arial" w:cstheme="majorBidi"/>
      <w:color w:val="000000" w:themeColor="text1"/>
      <w:sz w:val="28"/>
      <w:szCs w:val="32"/>
    </w:rPr>
  </w:style>
  <w:style w:type="paragraph" w:styleId="Heading2">
    <w:name w:val="heading 2"/>
    <w:basedOn w:val="Normal"/>
    <w:next w:val="Normal"/>
    <w:link w:val="Heading2Char"/>
    <w:uiPriority w:val="9"/>
    <w:unhideWhenUsed/>
    <w:qFormat/>
    <w:rsid w:val="008F329E"/>
    <w:pPr>
      <w:numPr>
        <w:numId w:val="3"/>
      </w:numPr>
      <w:spacing w:before="40" w:after="0"/>
      <w:outlineLvl w:val="1"/>
    </w:pPr>
    <w:rPr>
      <w:rFonts w:ascii="Arial" w:eastAsiaTheme="majorEastAsia" w:hAnsi="Arial" w:cstheme="majorBidi"/>
      <w:b/>
      <w:color w:val="000000" w:themeColor="text1"/>
      <w:sz w:val="24"/>
      <w:szCs w:val="26"/>
      <w:u w:val="single"/>
    </w:rPr>
  </w:style>
  <w:style w:type="paragraph" w:styleId="Heading3">
    <w:name w:val="heading 3"/>
    <w:basedOn w:val="Normal"/>
    <w:next w:val="Normal"/>
    <w:link w:val="Heading3Char"/>
    <w:uiPriority w:val="9"/>
    <w:unhideWhenUsed/>
    <w:qFormat/>
    <w:rsid w:val="008F329E"/>
    <w:pPr>
      <w:numPr>
        <w:numId w:val="2"/>
      </w:numPr>
      <w:spacing w:before="40" w:after="0"/>
      <w:outlineLvl w:val="2"/>
    </w:pPr>
    <w:rPr>
      <w:rFonts w:ascii="Arial" w:eastAsiaTheme="majorEastAsia" w:hAnsi="Arial"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9E"/>
    <w:rPr>
      <w:rFonts w:ascii="Arial" w:eastAsiaTheme="majorEastAsia" w:hAnsi="Arial" w:cstheme="majorBidi"/>
      <w:color w:val="000000" w:themeColor="text1"/>
      <w:sz w:val="28"/>
      <w:szCs w:val="32"/>
    </w:rPr>
  </w:style>
  <w:style w:type="paragraph" w:styleId="Header">
    <w:name w:val="header"/>
    <w:basedOn w:val="Normal"/>
    <w:link w:val="HeaderChar"/>
    <w:uiPriority w:val="99"/>
    <w:unhideWhenUsed/>
    <w:rsid w:val="00D46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591"/>
  </w:style>
  <w:style w:type="paragraph" w:styleId="Footer">
    <w:name w:val="footer"/>
    <w:basedOn w:val="Normal"/>
    <w:link w:val="FooterChar"/>
    <w:uiPriority w:val="99"/>
    <w:unhideWhenUsed/>
    <w:rsid w:val="00D4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591"/>
  </w:style>
  <w:style w:type="character" w:customStyle="1" w:styleId="Heading2Char">
    <w:name w:val="Heading 2 Char"/>
    <w:basedOn w:val="DefaultParagraphFont"/>
    <w:link w:val="Heading2"/>
    <w:uiPriority w:val="9"/>
    <w:rsid w:val="008F329E"/>
    <w:rPr>
      <w:rFonts w:ascii="Arial" w:eastAsiaTheme="majorEastAsia" w:hAnsi="Arial" w:cstheme="majorBidi"/>
      <w:b/>
      <w:color w:val="000000" w:themeColor="text1"/>
      <w:sz w:val="24"/>
      <w:szCs w:val="26"/>
      <w:u w:val="single"/>
    </w:rPr>
  </w:style>
  <w:style w:type="character" w:customStyle="1" w:styleId="Heading3Char">
    <w:name w:val="Heading 3 Char"/>
    <w:basedOn w:val="DefaultParagraphFont"/>
    <w:link w:val="Heading3"/>
    <w:uiPriority w:val="9"/>
    <w:rsid w:val="008F329E"/>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530EA3"/>
    <w:pPr>
      <w:ind w:left="720"/>
      <w:contextualSpacing/>
    </w:pPr>
  </w:style>
  <w:style w:type="character" w:styleId="Hyperlink">
    <w:name w:val="Hyperlink"/>
    <w:basedOn w:val="DefaultParagraphFont"/>
    <w:uiPriority w:val="99"/>
    <w:unhideWhenUsed/>
    <w:rsid w:val="00530EA3"/>
    <w:rPr>
      <w:color w:val="0000FF"/>
      <w:u w:val="single"/>
    </w:rPr>
  </w:style>
  <w:style w:type="character" w:customStyle="1" w:styleId="text">
    <w:name w:val="text"/>
    <w:basedOn w:val="DefaultParagraphFont"/>
    <w:rsid w:val="00CE535F"/>
  </w:style>
  <w:style w:type="character" w:customStyle="1" w:styleId="cohl">
    <w:name w:val="co_hl"/>
    <w:basedOn w:val="DefaultParagraphFont"/>
    <w:rsid w:val="006772C6"/>
  </w:style>
  <w:style w:type="paragraph" w:styleId="BalloonText">
    <w:name w:val="Balloon Text"/>
    <w:basedOn w:val="Normal"/>
    <w:link w:val="BalloonTextChar"/>
    <w:uiPriority w:val="99"/>
    <w:semiHidden/>
    <w:unhideWhenUsed/>
    <w:rsid w:val="00F53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7B5"/>
    <w:rPr>
      <w:rFonts w:ascii="Segoe UI" w:hAnsi="Segoe UI" w:cs="Segoe UI"/>
      <w:sz w:val="18"/>
      <w:szCs w:val="18"/>
    </w:rPr>
  </w:style>
  <w:style w:type="paragraph" w:styleId="HTMLPreformatted">
    <w:name w:val="HTML Preformatted"/>
    <w:basedOn w:val="Normal"/>
    <w:link w:val="HTMLPreformattedChar"/>
    <w:uiPriority w:val="99"/>
    <w:semiHidden/>
    <w:unhideWhenUsed/>
    <w:rsid w:val="008F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436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1915">
      <w:bodyDiv w:val="1"/>
      <w:marLeft w:val="0"/>
      <w:marRight w:val="0"/>
      <w:marTop w:val="0"/>
      <w:marBottom w:val="0"/>
      <w:divBdr>
        <w:top w:val="none" w:sz="0" w:space="0" w:color="auto"/>
        <w:left w:val="none" w:sz="0" w:space="0" w:color="auto"/>
        <w:bottom w:val="none" w:sz="0" w:space="0" w:color="auto"/>
        <w:right w:val="none" w:sz="0" w:space="0" w:color="auto"/>
      </w:divBdr>
      <w:divsChild>
        <w:div w:id="1322781463">
          <w:marLeft w:val="0"/>
          <w:marRight w:val="0"/>
          <w:marTop w:val="0"/>
          <w:marBottom w:val="0"/>
          <w:divBdr>
            <w:top w:val="none" w:sz="0" w:space="0" w:color="auto"/>
            <w:left w:val="none" w:sz="0" w:space="0" w:color="auto"/>
            <w:bottom w:val="none" w:sz="0" w:space="0" w:color="auto"/>
            <w:right w:val="none" w:sz="0" w:space="0" w:color="auto"/>
          </w:divBdr>
          <w:divsChild>
            <w:div w:id="1135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2771">
      <w:bodyDiv w:val="1"/>
      <w:marLeft w:val="0"/>
      <w:marRight w:val="0"/>
      <w:marTop w:val="0"/>
      <w:marBottom w:val="0"/>
      <w:divBdr>
        <w:top w:val="none" w:sz="0" w:space="0" w:color="auto"/>
        <w:left w:val="none" w:sz="0" w:space="0" w:color="auto"/>
        <w:bottom w:val="none" w:sz="0" w:space="0" w:color="auto"/>
        <w:right w:val="none" w:sz="0" w:space="0" w:color="auto"/>
      </w:divBdr>
      <w:divsChild>
        <w:div w:id="1988894305">
          <w:marLeft w:val="0"/>
          <w:marRight w:val="0"/>
          <w:marTop w:val="0"/>
          <w:marBottom w:val="0"/>
          <w:divBdr>
            <w:top w:val="none" w:sz="0" w:space="0" w:color="auto"/>
            <w:left w:val="none" w:sz="0" w:space="0" w:color="auto"/>
            <w:bottom w:val="none" w:sz="0" w:space="0" w:color="auto"/>
            <w:right w:val="none" w:sz="0" w:space="0" w:color="auto"/>
          </w:divBdr>
          <w:divsChild>
            <w:div w:id="314997825">
              <w:marLeft w:val="0"/>
              <w:marRight w:val="0"/>
              <w:marTop w:val="0"/>
              <w:marBottom w:val="0"/>
              <w:divBdr>
                <w:top w:val="none" w:sz="0" w:space="0" w:color="auto"/>
                <w:left w:val="none" w:sz="0" w:space="0" w:color="auto"/>
                <w:bottom w:val="none" w:sz="0" w:space="0" w:color="auto"/>
                <w:right w:val="none" w:sz="0" w:space="0" w:color="auto"/>
              </w:divBdr>
              <w:divsChild>
                <w:div w:id="1109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6989">
      <w:bodyDiv w:val="1"/>
      <w:marLeft w:val="0"/>
      <w:marRight w:val="0"/>
      <w:marTop w:val="0"/>
      <w:marBottom w:val="0"/>
      <w:divBdr>
        <w:top w:val="none" w:sz="0" w:space="0" w:color="auto"/>
        <w:left w:val="none" w:sz="0" w:space="0" w:color="auto"/>
        <w:bottom w:val="none" w:sz="0" w:space="0" w:color="auto"/>
        <w:right w:val="none" w:sz="0" w:space="0" w:color="auto"/>
      </w:divBdr>
      <w:divsChild>
        <w:div w:id="1275868868">
          <w:marLeft w:val="0"/>
          <w:marRight w:val="0"/>
          <w:marTop w:val="0"/>
          <w:marBottom w:val="0"/>
          <w:divBdr>
            <w:top w:val="none" w:sz="0" w:space="0" w:color="auto"/>
            <w:left w:val="none" w:sz="0" w:space="0" w:color="auto"/>
            <w:bottom w:val="none" w:sz="0" w:space="0" w:color="auto"/>
            <w:right w:val="none" w:sz="0" w:space="0" w:color="auto"/>
          </w:divBdr>
          <w:divsChild>
            <w:div w:id="1081950761">
              <w:marLeft w:val="0"/>
              <w:marRight w:val="0"/>
              <w:marTop w:val="0"/>
              <w:marBottom w:val="0"/>
              <w:divBdr>
                <w:top w:val="none" w:sz="0" w:space="0" w:color="auto"/>
                <w:left w:val="none" w:sz="0" w:space="0" w:color="auto"/>
                <w:bottom w:val="none" w:sz="0" w:space="0" w:color="auto"/>
                <w:right w:val="none" w:sz="0" w:space="0" w:color="auto"/>
              </w:divBdr>
              <w:divsChild>
                <w:div w:id="114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5533">
      <w:bodyDiv w:val="1"/>
      <w:marLeft w:val="0"/>
      <w:marRight w:val="0"/>
      <w:marTop w:val="0"/>
      <w:marBottom w:val="0"/>
      <w:divBdr>
        <w:top w:val="none" w:sz="0" w:space="0" w:color="auto"/>
        <w:left w:val="none" w:sz="0" w:space="0" w:color="auto"/>
        <w:bottom w:val="none" w:sz="0" w:space="0" w:color="auto"/>
        <w:right w:val="none" w:sz="0" w:space="0" w:color="auto"/>
      </w:divBdr>
      <w:divsChild>
        <w:div w:id="366568466">
          <w:marLeft w:val="0"/>
          <w:marRight w:val="0"/>
          <w:marTop w:val="0"/>
          <w:marBottom w:val="0"/>
          <w:divBdr>
            <w:top w:val="none" w:sz="0" w:space="0" w:color="auto"/>
            <w:left w:val="none" w:sz="0" w:space="0" w:color="auto"/>
            <w:bottom w:val="none" w:sz="0" w:space="0" w:color="auto"/>
            <w:right w:val="none" w:sz="0" w:space="0" w:color="auto"/>
          </w:divBdr>
          <w:divsChild>
            <w:div w:id="8723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006&amp;cite=FLSTS440.09&amp;originatingDoc=I20bf35f80ce011d99830b5efa1ded32a&amp;refType=SP&amp;originationContext=document&amp;transitionType=DocumentItem&amp;ppcid=2087cb03379748bba450e7d066a9a44a&amp;contextData=(sc.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1.next.westlaw.com/Link/Document/FullText?findType=Y&amp;serNum=1980110957&amp;pubNum=735&amp;originatingDoc=I129b33d1725611e0a8a2938374af9660&amp;refType=RP&amp;originationContext=document&amp;transitionType=DocumentItem&amp;ppcid=f495c0bdf1844be78d772ce178b88feb&amp;contextData=(sc.Search)" TargetMode="External"/><Relationship Id="rId4" Type="http://schemas.openxmlformats.org/officeDocument/2006/relationships/settings" Target="settings.xml"/><Relationship Id="rId9" Type="http://schemas.openxmlformats.org/officeDocument/2006/relationships/hyperlink" Target="https://1.next.westlaw.com/Link/Document/FullText?findType=Y&amp;serNum=1988108807&amp;pubNum=0000735&amp;originatingDoc=I41e8db310f2f11dabc4dbc8043910a62&amp;refType=RP&amp;originationContext=document&amp;transitionType=DocumentItem&amp;ppcid=24c2832f570e405a9dea78438268e8d9&amp;contextData=(sc.Categ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3A7A3-0AB2-4226-B05C-27659997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4902</Words>
  <Characters>27948</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McConnaughhay, Coonrod, Pope, Weaver &amp; Stern,  P.A.</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Yarnell</dc:creator>
  <cp:keywords/>
  <dc:description/>
  <cp:lastModifiedBy>Jenna Mills</cp:lastModifiedBy>
  <cp:revision>2</cp:revision>
  <cp:lastPrinted>2022-06-13T20:22:00Z</cp:lastPrinted>
  <dcterms:created xsi:type="dcterms:W3CDTF">2022-06-14T15:20:00Z</dcterms:created>
  <dcterms:modified xsi:type="dcterms:W3CDTF">2022-06-14T15:20:00Z</dcterms:modified>
</cp:coreProperties>
</file>