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FC" w:rsidRPr="009B52FC" w:rsidRDefault="009B52FC" w:rsidP="009B52FC">
      <w:pPr>
        <w:jc w:val="center"/>
        <w:rPr>
          <w:b/>
          <w:sz w:val="28"/>
          <w:szCs w:val="28"/>
          <w:u w:val="single"/>
        </w:rPr>
      </w:pPr>
      <w:bookmarkStart w:id="0" w:name="_GoBack"/>
      <w:bookmarkEnd w:id="0"/>
      <w:r w:rsidRPr="009B52FC">
        <w:rPr>
          <w:b/>
          <w:sz w:val="28"/>
          <w:szCs w:val="28"/>
          <w:u w:val="single"/>
        </w:rPr>
        <w:t>Resolution of Workers’ Compensation</w:t>
      </w:r>
    </w:p>
    <w:p w:rsidR="009B52FC" w:rsidRDefault="009B52FC" w:rsidP="009B52FC">
      <w:pPr>
        <w:jc w:val="center"/>
        <w:rPr>
          <w:b/>
          <w:sz w:val="28"/>
          <w:szCs w:val="28"/>
          <w:u w:val="single"/>
        </w:rPr>
      </w:pPr>
      <w:r w:rsidRPr="009B52FC">
        <w:rPr>
          <w:b/>
          <w:sz w:val="28"/>
          <w:szCs w:val="28"/>
          <w:u w:val="single"/>
        </w:rPr>
        <w:t>Medical Bills</w:t>
      </w:r>
      <w:r w:rsidR="00623163">
        <w:rPr>
          <w:b/>
          <w:sz w:val="28"/>
          <w:szCs w:val="28"/>
          <w:u w:val="single"/>
        </w:rPr>
        <w:t xml:space="preserve"> and How to Limit Prescription Costs in Florida</w:t>
      </w:r>
    </w:p>
    <w:p w:rsidR="00DC034F" w:rsidRPr="009B52FC" w:rsidRDefault="00DC034F" w:rsidP="009B52FC">
      <w:pPr>
        <w:jc w:val="center"/>
        <w:rPr>
          <w:b/>
          <w:sz w:val="28"/>
          <w:szCs w:val="28"/>
          <w:u w:val="single"/>
        </w:rPr>
      </w:pPr>
    </w:p>
    <w:p w:rsidR="009B52FC" w:rsidRPr="009B52FC" w:rsidRDefault="00DC034F" w:rsidP="00C0022E">
      <w:pPr>
        <w:pStyle w:val="ListParagraph"/>
        <w:tabs>
          <w:tab w:val="left" w:pos="720"/>
        </w:tabs>
        <w:ind w:left="1080"/>
        <w:jc w:val="center"/>
        <w:rPr>
          <w:b/>
          <w:sz w:val="28"/>
          <w:szCs w:val="28"/>
        </w:rPr>
      </w:pPr>
      <w:r>
        <w:rPr>
          <w:b/>
          <w:sz w:val="28"/>
          <w:szCs w:val="28"/>
        </w:rPr>
        <w:t>Caitl</w:t>
      </w:r>
      <w:r w:rsidR="00C0022E">
        <w:rPr>
          <w:b/>
          <w:sz w:val="28"/>
          <w:szCs w:val="28"/>
        </w:rPr>
        <w:t>i</w:t>
      </w:r>
      <w:r>
        <w:rPr>
          <w:b/>
          <w:sz w:val="28"/>
          <w:szCs w:val="28"/>
        </w:rPr>
        <w:t>n Beyl &amp; Ralph Douglas</w:t>
      </w:r>
    </w:p>
    <w:p w:rsidR="009B52FC" w:rsidRPr="009B52FC" w:rsidRDefault="009B52FC" w:rsidP="009B52FC">
      <w:pPr>
        <w:pStyle w:val="ListParagraph"/>
        <w:tabs>
          <w:tab w:val="left" w:pos="720"/>
        </w:tabs>
        <w:ind w:left="1080"/>
        <w:rPr>
          <w:b/>
          <w:sz w:val="26"/>
          <w:szCs w:val="26"/>
        </w:rPr>
      </w:pPr>
    </w:p>
    <w:p w:rsidR="00A332F2" w:rsidRPr="00EF4A49" w:rsidRDefault="00EF4A49" w:rsidP="00EF4A49">
      <w:pPr>
        <w:pStyle w:val="ListParagraph"/>
        <w:numPr>
          <w:ilvl w:val="0"/>
          <w:numId w:val="1"/>
        </w:numPr>
        <w:tabs>
          <w:tab w:val="left" w:pos="720"/>
        </w:tabs>
        <w:rPr>
          <w:b/>
          <w:sz w:val="26"/>
          <w:szCs w:val="26"/>
        </w:rPr>
      </w:pPr>
      <w:r w:rsidRPr="00EF4A49">
        <w:rPr>
          <w:b/>
          <w:sz w:val="26"/>
          <w:szCs w:val="26"/>
          <w:u w:val="single"/>
        </w:rPr>
        <w:t>Scope of Problem</w:t>
      </w:r>
    </w:p>
    <w:p w:rsidR="00EF4A49" w:rsidRPr="00EF4A49" w:rsidRDefault="00EF4A49" w:rsidP="00EF4A49">
      <w:pPr>
        <w:pStyle w:val="ListParagraph"/>
        <w:tabs>
          <w:tab w:val="left" w:pos="720"/>
        </w:tabs>
        <w:rPr>
          <w:b/>
        </w:rPr>
      </w:pPr>
    </w:p>
    <w:p w:rsidR="00EF4A49" w:rsidRPr="00481DF2" w:rsidRDefault="00EF4A49" w:rsidP="001868FD">
      <w:pPr>
        <w:pStyle w:val="ListParagraph"/>
        <w:numPr>
          <w:ilvl w:val="0"/>
          <w:numId w:val="3"/>
        </w:numPr>
        <w:tabs>
          <w:tab w:val="left" w:pos="720"/>
          <w:tab w:val="left" w:pos="1440"/>
          <w:tab w:val="left" w:pos="3121"/>
        </w:tabs>
      </w:pPr>
      <w:r w:rsidRPr="00481DF2">
        <w:rPr>
          <w:b/>
          <w:u w:val="single"/>
        </w:rPr>
        <w:t>Report By Division of Workers’ Compensation to Three-Member Panel Regarding the Resolution of Medical Reimbursement Disputes and Actions</w:t>
      </w:r>
      <w:r w:rsidR="00562363">
        <w:rPr>
          <w:b/>
          <w:u w:val="single"/>
        </w:rPr>
        <w:t xml:space="preserve"> pursuant to Paragraph 440.13(12)(e), Florida Statutes – FY2019-2020 Dated December 2020</w:t>
      </w:r>
      <w:r w:rsidRPr="00481DF2">
        <w:rPr>
          <w:b/>
          <w:u w:val="single"/>
        </w:rPr>
        <w:t xml:space="preserve"> </w:t>
      </w:r>
    </w:p>
    <w:p w:rsidR="00481DF2" w:rsidRDefault="00481DF2" w:rsidP="00481DF2">
      <w:pPr>
        <w:pStyle w:val="ListParagraph"/>
        <w:tabs>
          <w:tab w:val="left" w:pos="720"/>
          <w:tab w:val="left" w:pos="1440"/>
          <w:tab w:val="left" w:pos="3121"/>
        </w:tabs>
        <w:ind w:left="1080"/>
      </w:pPr>
    </w:p>
    <w:p w:rsidR="00EF4A49" w:rsidRDefault="00EF4A49" w:rsidP="00EF4A49">
      <w:pPr>
        <w:pStyle w:val="ListParagraph"/>
        <w:numPr>
          <w:ilvl w:val="0"/>
          <w:numId w:val="4"/>
        </w:numPr>
        <w:tabs>
          <w:tab w:val="left" w:pos="720"/>
          <w:tab w:val="left" w:pos="1080"/>
          <w:tab w:val="left" w:pos="1440"/>
          <w:tab w:val="left" w:pos="3121"/>
        </w:tabs>
      </w:pPr>
      <w:r>
        <w:t>FY 2019-20</w:t>
      </w:r>
    </w:p>
    <w:p w:rsidR="00EF4A49" w:rsidRDefault="00EF4A49" w:rsidP="00EF4A49">
      <w:pPr>
        <w:pStyle w:val="ListParagraph"/>
        <w:numPr>
          <w:ilvl w:val="0"/>
          <w:numId w:val="5"/>
        </w:numPr>
        <w:tabs>
          <w:tab w:val="left" w:pos="720"/>
          <w:tab w:val="left" w:pos="1080"/>
          <w:tab w:val="left" w:pos="1440"/>
          <w:tab w:val="left" w:pos="3121"/>
        </w:tabs>
      </w:pPr>
      <w:r>
        <w:t>4607 Petitions Received</w:t>
      </w:r>
    </w:p>
    <w:p w:rsidR="00EF4A49" w:rsidRDefault="00EF4A49" w:rsidP="00EF4A49">
      <w:pPr>
        <w:pStyle w:val="ListParagraph"/>
        <w:numPr>
          <w:ilvl w:val="0"/>
          <w:numId w:val="5"/>
        </w:numPr>
        <w:tabs>
          <w:tab w:val="left" w:pos="720"/>
          <w:tab w:val="left" w:pos="1080"/>
          <w:tab w:val="left" w:pos="1440"/>
          <w:tab w:val="left" w:pos="3121"/>
        </w:tabs>
      </w:pPr>
      <w:r>
        <w:t>2,274 Practi</w:t>
      </w:r>
      <w:r w:rsidR="0081511D">
        <w:t>tioners</w:t>
      </w:r>
    </w:p>
    <w:p w:rsidR="00EF4A49" w:rsidRDefault="00EF4A49" w:rsidP="00EF4A49">
      <w:pPr>
        <w:pStyle w:val="ListParagraph"/>
        <w:numPr>
          <w:ilvl w:val="0"/>
          <w:numId w:val="5"/>
        </w:numPr>
        <w:tabs>
          <w:tab w:val="left" w:pos="720"/>
          <w:tab w:val="left" w:pos="1080"/>
          <w:tab w:val="left" w:pos="1440"/>
          <w:tab w:val="left" w:pos="3121"/>
        </w:tabs>
      </w:pPr>
      <w:r>
        <w:t>Hospital Outpatient</w:t>
      </w:r>
    </w:p>
    <w:p w:rsidR="0081511D" w:rsidRDefault="0081511D" w:rsidP="0081511D">
      <w:pPr>
        <w:pStyle w:val="ListParagraph"/>
        <w:tabs>
          <w:tab w:val="left" w:pos="720"/>
          <w:tab w:val="left" w:pos="1080"/>
          <w:tab w:val="left" w:pos="1440"/>
          <w:tab w:val="left" w:pos="3121"/>
        </w:tabs>
        <w:ind w:left="1800"/>
      </w:pPr>
    </w:p>
    <w:p w:rsidR="00EF4A49" w:rsidRDefault="00EF4A49" w:rsidP="00EF4A49">
      <w:pPr>
        <w:pStyle w:val="ListParagraph"/>
        <w:numPr>
          <w:ilvl w:val="0"/>
          <w:numId w:val="4"/>
        </w:numPr>
        <w:tabs>
          <w:tab w:val="left" w:pos="720"/>
          <w:tab w:val="left" w:pos="1080"/>
          <w:tab w:val="left" w:pos="1440"/>
          <w:tab w:val="left" w:pos="3121"/>
        </w:tabs>
      </w:pPr>
      <w:r>
        <w:t>Since FY 15-16</w:t>
      </w:r>
    </w:p>
    <w:p w:rsidR="00EF4A49" w:rsidRDefault="00EF4A49" w:rsidP="00EF4A49">
      <w:pPr>
        <w:pStyle w:val="ListParagraph"/>
        <w:numPr>
          <w:ilvl w:val="0"/>
          <w:numId w:val="7"/>
        </w:numPr>
        <w:tabs>
          <w:tab w:val="left" w:pos="720"/>
          <w:tab w:val="left" w:pos="1080"/>
          <w:tab w:val="left" w:pos="1440"/>
          <w:tab w:val="left" w:pos="3121"/>
        </w:tabs>
      </w:pPr>
      <w:r>
        <w:t>Total Petitions Received – 28,000</w:t>
      </w:r>
    </w:p>
    <w:p w:rsidR="006B1212" w:rsidRDefault="006B1212" w:rsidP="00EF4A49">
      <w:pPr>
        <w:pStyle w:val="ListParagraph"/>
        <w:numPr>
          <w:ilvl w:val="0"/>
          <w:numId w:val="7"/>
        </w:numPr>
        <w:tabs>
          <w:tab w:val="left" w:pos="720"/>
          <w:tab w:val="left" w:pos="1080"/>
          <w:tab w:val="left" w:pos="1440"/>
          <w:tab w:val="left" w:pos="3121"/>
        </w:tabs>
      </w:pPr>
      <w:r>
        <w:t>Approximately 500 petitions per year (estimated) have not been dismissed or decided by Division.</w:t>
      </w:r>
    </w:p>
    <w:p w:rsidR="00EF4A49" w:rsidRDefault="00EF4A49" w:rsidP="00EF4A49">
      <w:pPr>
        <w:tabs>
          <w:tab w:val="left" w:pos="720"/>
          <w:tab w:val="left" w:pos="1080"/>
          <w:tab w:val="left" w:pos="1440"/>
          <w:tab w:val="left" w:pos="3121"/>
        </w:tabs>
      </w:pPr>
    </w:p>
    <w:p w:rsidR="00EF4A49" w:rsidRPr="00EF4A49" w:rsidRDefault="00EF4A49" w:rsidP="00EF4A49">
      <w:pPr>
        <w:pStyle w:val="ListParagraph"/>
        <w:numPr>
          <w:ilvl w:val="0"/>
          <w:numId w:val="1"/>
        </w:numPr>
        <w:tabs>
          <w:tab w:val="left" w:pos="720"/>
          <w:tab w:val="left" w:pos="1080"/>
          <w:tab w:val="left" w:pos="1440"/>
          <w:tab w:val="left" w:pos="3121"/>
        </w:tabs>
        <w:rPr>
          <w:b/>
          <w:sz w:val="26"/>
          <w:szCs w:val="26"/>
        </w:rPr>
      </w:pPr>
      <w:r w:rsidRPr="00EF4A49">
        <w:rPr>
          <w:b/>
          <w:sz w:val="26"/>
          <w:szCs w:val="26"/>
          <w:u w:val="single"/>
        </w:rPr>
        <w:t>Bill Processing Procedures</w:t>
      </w:r>
    </w:p>
    <w:p w:rsidR="00EF4A49" w:rsidRDefault="00EF4A49" w:rsidP="00EF4A49">
      <w:pPr>
        <w:tabs>
          <w:tab w:val="left" w:pos="720"/>
          <w:tab w:val="left" w:pos="1080"/>
          <w:tab w:val="left" w:pos="1440"/>
          <w:tab w:val="left" w:pos="3121"/>
        </w:tabs>
        <w:rPr>
          <w:b/>
          <w:sz w:val="26"/>
          <w:szCs w:val="26"/>
        </w:rPr>
      </w:pPr>
    </w:p>
    <w:p w:rsidR="00EF4A49" w:rsidRPr="00EF4A49" w:rsidRDefault="00EF4A49" w:rsidP="00EF4A49">
      <w:pPr>
        <w:pStyle w:val="ListParagraph"/>
        <w:numPr>
          <w:ilvl w:val="0"/>
          <w:numId w:val="8"/>
        </w:numPr>
        <w:tabs>
          <w:tab w:val="left" w:pos="720"/>
          <w:tab w:val="left" w:pos="1080"/>
          <w:tab w:val="left" w:pos="1440"/>
          <w:tab w:val="left" w:pos="3121"/>
        </w:tabs>
        <w:rPr>
          <w:b/>
          <w:szCs w:val="24"/>
        </w:rPr>
      </w:pPr>
      <w:r>
        <w:rPr>
          <w:b/>
          <w:szCs w:val="24"/>
          <w:u w:val="single"/>
        </w:rPr>
        <w:t>The Bill</w:t>
      </w:r>
    </w:p>
    <w:p w:rsidR="00EF4A49" w:rsidRDefault="00EF4A49" w:rsidP="00EF4A49">
      <w:pPr>
        <w:tabs>
          <w:tab w:val="left" w:pos="720"/>
          <w:tab w:val="left" w:pos="1080"/>
          <w:tab w:val="left" w:pos="1440"/>
          <w:tab w:val="left" w:pos="3121"/>
        </w:tabs>
        <w:rPr>
          <w:b/>
          <w:szCs w:val="24"/>
        </w:rPr>
      </w:pPr>
    </w:p>
    <w:p w:rsidR="00EF4A49" w:rsidRDefault="004C5F3D" w:rsidP="00EF4A49">
      <w:pPr>
        <w:pStyle w:val="ListParagraph"/>
        <w:numPr>
          <w:ilvl w:val="0"/>
          <w:numId w:val="10"/>
        </w:numPr>
        <w:tabs>
          <w:tab w:val="left" w:pos="720"/>
          <w:tab w:val="left" w:pos="1080"/>
          <w:tab w:val="left" w:pos="1440"/>
          <w:tab w:val="left" w:pos="3121"/>
        </w:tabs>
        <w:rPr>
          <w:szCs w:val="24"/>
        </w:rPr>
      </w:pPr>
      <w:r>
        <w:rPr>
          <w:szCs w:val="24"/>
        </w:rPr>
        <w:t>Must be on Division-r</w:t>
      </w:r>
      <w:r w:rsidR="00EF4A49">
        <w:rPr>
          <w:szCs w:val="24"/>
        </w:rPr>
        <w:t xml:space="preserve">equired </w:t>
      </w:r>
      <w:r>
        <w:rPr>
          <w:szCs w:val="24"/>
        </w:rPr>
        <w:t>f</w:t>
      </w:r>
      <w:r w:rsidR="00EF4A49">
        <w:rPr>
          <w:szCs w:val="24"/>
        </w:rPr>
        <w:t>orm</w:t>
      </w:r>
      <w:r>
        <w:rPr>
          <w:szCs w:val="24"/>
        </w:rPr>
        <w:t>,</w:t>
      </w:r>
      <w:r w:rsidR="00EF4A49">
        <w:rPr>
          <w:szCs w:val="24"/>
        </w:rPr>
        <w:t xml:space="preserve"> Rule 69L-7.710; </w:t>
      </w:r>
      <w:r>
        <w:rPr>
          <w:szCs w:val="24"/>
        </w:rPr>
        <w:t>A</w:t>
      </w:r>
      <w:r w:rsidR="00EF4A49">
        <w:rPr>
          <w:szCs w:val="24"/>
        </w:rPr>
        <w:t xml:space="preserve">ppropriate </w:t>
      </w:r>
      <w:r>
        <w:rPr>
          <w:szCs w:val="24"/>
        </w:rPr>
        <w:t>m</w:t>
      </w:r>
      <w:r w:rsidR="00EF4A49">
        <w:rPr>
          <w:szCs w:val="24"/>
        </w:rPr>
        <w:t>anual for Healthcare Providers, Ambulatory Surgical Centers and/or Hospitals</w:t>
      </w:r>
      <w:r w:rsidR="00917C45">
        <w:rPr>
          <w:szCs w:val="24"/>
        </w:rPr>
        <w:t>,</w:t>
      </w:r>
      <w:r w:rsidR="00EF4A49">
        <w:rPr>
          <w:szCs w:val="24"/>
        </w:rPr>
        <w:t xml:space="preserve"> Rules 69L-7.020, 7.100 and 7.501 respectively.</w:t>
      </w:r>
    </w:p>
    <w:p w:rsidR="00B87B6E" w:rsidRDefault="00B87B6E" w:rsidP="00B87B6E">
      <w:pPr>
        <w:tabs>
          <w:tab w:val="left" w:pos="720"/>
          <w:tab w:val="left" w:pos="1080"/>
          <w:tab w:val="left" w:pos="1440"/>
          <w:tab w:val="left" w:pos="3121"/>
        </w:tabs>
        <w:rPr>
          <w:szCs w:val="24"/>
        </w:rPr>
      </w:pPr>
    </w:p>
    <w:p w:rsidR="00B87B6E" w:rsidRDefault="00B87B6E" w:rsidP="00B87B6E">
      <w:pPr>
        <w:pStyle w:val="ListParagraph"/>
        <w:numPr>
          <w:ilvl w:val="0"/>
          <w:numId w:val="10"/>
        </w:numPr>
        <w:tabs>
          <w:tab w:val="left" w:pos="720"/>
          <w:tab w:val="left" w:pos="1080"/>
          <w:tab w:val="left" w:pos="1440"/>
          <w:tab w:val="left" w:pos="3121"/>
        </w:tabs>
        <w:rPr>
          <w:szCs w:val="24"/>
        </w:rPr>
      </w:pPr>
      <w:r>
        <w:rPr>
          <w:szCs w:val="24"/>
        </w:rPr>
        <w:t>Medical Documentation Supporting Payment which includes at a minimum:</w:t>
      </w:r>
    </w:p>
    <w:p w:rsidR="006C11DC" w:rsidRPr="006C11DC" w:rsidRDefault="006C11DC" w:rsidP="006C11DC">
      <w:pPr>
        <w:pStyle w:val="ListParagraph"/>
        <w:rPr>
          <w:szCs w:val="24"/>
        </w:rPr>
      </w:pPr>
    </w:p>
    <w:p w:rsidR="00B87B6E" w:rsidRDefault="00B87B6E" w:rsidP="00B87B6E">
      <w:pPr>
        <w:pStyle w:val="ListParagraph"/>
        <w:numPr>
          <w:ilvl w:val="0"/>
          <w:numId w:val="11"/>
        </w:numPr>
        <w:tabs>
          <w:tab w:val="left" w:pos="720"/>
          <w:tab w:val="left" w:pos="1080"/>
          <w:tab w:val="left" w:pos="1440"/>
          <w:tab w:val="left" w:pos="3121"/>
        </w:tabs>
        <w:rPr>
          <w:szCs w:val="24"/>
        </w:rPr>
      </w:pPr>
      <w:r>
        <w:rPr>
          <w:szCs w:val="24"/>
        </w:rPr>
        <w:t>Medical treatment notes signed by provider showing the provision of authorized treatment;</w:t>
      </w:r>
    </w:p>
    <w:p w:rsidR="006C11DC" w:rsidRDefault="006C11DC" w:rsidP="006C11DC">
      <w:pPr>
        <w:pStyle w:val="ListParagraph"/>
        <w:tabs>
          <w:tab w:val="left" w:pos="720"/>
          <w:tab w:val="left" w:pos="1080"/>
          <w:tab w:val="left" w:pos="1440"/>
          <w:tab w:val="left" w:pos="3121"/>
        </w:tabs>
        <w:ind w:left="1800"/>
        <w:rPr>
          <w:szCs w:val="24"/>
        </w:rPr>
      </w:pPr>
    </w:p>
    <w:p w:rsidR="009B52FC" w:rsidRDefault="00B87B6E" w:rsidP="009B52FC">
      <w:pPr>
        <w:pStyle w:val="ListParagraph"/>
        <w:numPr>
          <w:ilvl w:val="0"/>
          <w:numId w:val="11"/>
        </w:numPr>
        <w:tabs>
          <w:tab w:val="left" w:pos="720"/>
          <w:tab w:val="left" w:pos="1080"/>
          <w:tab w:val="left" w:pos="1440"/>
          <w:tab w:val="left" w:pos="3121"/>
        </w:tabs>
        <w:rPr>
          <w:szCs w:val="24"/>
        </w:rPr>
      </w:pPr>
      <w:r>
        <w:rPr>
          <w:szCs w:val="24"/>
        </w:rPr>
        <w:t>Division approved form depicting name and licensure of provider as well as name of designated billing agent.</w:t>
      </w:r>
    </w:p>
    <w:p w:rsidR="006C11DC" w:rsidRPr="006C11DC" w:rsidRDefault="006C11DC" w:rsidP="006C11DC">
      <w:pPr>
        <w:pStyle w:val="ListParagraph"/>
        <w:rPr>
          <w:szCs w:val="24"/>
        </w:rPr>
      </w:pPr>
    </w:p>
    <w:p w:rsidR="00B87B6E" w:rsidRPr="00B87B6E" w:rsidRDefault="00B87B6E" w:rsidP="00B87B6E">
      <w:pPr>
        <w:pStyle w:val="ListParagraph"/>
        <w:numPr>
          <w:ilvl w:val="0"/>
          <w:numId w:val="8"/>
        </w:numPr>
        <w:tabs>
          <w:tab w:val="left" w:pos="720"/>
          <w:tab w:val="left" w:pos="1080"/>
          <w:tab w:val="left" w:pos="1440"/>
          <w:tab w:val="left" w:pos="3121"/>
        </w:tabs>
        <w:rPr>
          <w:b/>
          <w:szCs w:val="24"/>
          <w:u w:val="single"/>
        </w:rPr>
      </w:pPr>
      <w:r>
        <w:rPr>
          <w:b/>
          <w:szCs w:val="24"/>
          <w:u w:val="single"/>
        </w:rPr>
        <w:t>Response by Employer/Carrier to Bill Received, Rule 69L-7.740</w:t>
      </w:r>
    </w:p>
    <w:p w:rsidR="00B87B6E" w:rsidRDefault="00B87B6E" w:rsidP="00B87B6E">
      <w:pPr>
        <w:tabs>
          <w:tab w:val="left" w:pos="720"/>
          <w:tab w:val="left" w:pos="1080"/>
          <w:tab w:val="left" w:pos="1440"/>
          <w:tab w:val="left" w:pos="3121"/>
        </w:tabs>
        <w:rPr>
          <w:b/>
          <w:szCs w:val="24"/>
          <w:u w:val="single"/>
        </w:rPr>
      </w:pPr>
    </w:p>
    <w:p w:rsidR="00B87B6E" w:rsidRDefault="00B87B6E" w:rsidP="00B87B6E">
      <w:pPr>
        <w:pStyle w:val="ListParagraph"/>
        <w:numPr>
          <w:ilvl w:val="0"/>
          <w:numId w:val="13"/>
        </w:numPr>
        <w:tabs>
          <w:tab w:val="left" w:pos="720"/>
          <w:tab w:val="left" w:pos="1080"/>
          <w:tab w:val="left" w:pos="1440"/>
          <w:tab w:val="left" w:pos="3121"/>
        </w:tabs>
        <w:rPr>
          <w:szCs w:val="24"/>
        </w:rPr>
      </w:pPr>
      <w:r>
        <w:rPr>
          <w:szCs w:val="24"/>
        </w:rPr>
        <w:t>Within 45 days:</w:t>
      </w:r>
    </w:p>
    <w:p w:rsidR="00B87B6E" w:rsidRDefault="00B87B6E" w:rsidP="00B87B6E">
      <w:pPr>
        <w:pStyle w:val="ListParagraph"/>
        <w:numPr>
          <w:ilvl w:val="0"/>
          <w:numId w:val="14"/>
        </w:numPr>
        <w:tabs>
          <w:tab w:val="left" w:pos="720"/>
          <w:tab w:val="left" w:pos="1080"/>
          <w:tab w:val="left" w:pos="1440"/>
          <w:tab w:val="left" w:pos="3121"/>
        </w:tabs>
        <w:rPr>
          <w:szCs w:val="24"/>
        </w:rPr>
      </w:pPr>
      <w:r>
        <w:rPr>
          <w:szCs w:val="24"/>
        </w:rPr>
        <w:t>Pay</w:t>
      </w:r>
    </w:p>
    <w:p w:rsidR="006C11DC" w:rsidRDefault="006C11DC" w:rsidP="006C11DC">
      <w:pPr>
        <w:pStyle w:val="ListParagraph"/>
        <w:tabs>
          <w:tab w:val="left" w:pos="720"/>
          <w:tab w:val="left" w:pos="1080"/>
          <w:tab w:val="left" w:pos="1440"/>
          <w:tab w:val="left" w:pos="3121"/>
        </w:tabs>
        <w:ind w:left="1800"/>
        <w:rPr>
          <w:szCs w:val="24"/>
        </w:rPr>
      </w:pPr>
    </w:p>
    <w:p w:rsidR="00B87B6E" w:rsidRDefault="00B87B6E" w:rsidP="00B87B6E">
      <w:pPr>
        <w:pStyle w:val="ListParagraph"/>
        <w:numPr>
          <w:ilvl w:val="0"/>
          <w:numId w:val="14"/>
        </w:numPr>
        <w:tabs>
          <w:tab w:val="left" w:pos="720"/>
          <w:tab w:val="left" w:pos="1080"/>
          <w:tab w:val="left" w:pos="1440"/>
          <w:tab w:val="left" w:pos="3121"/>
        </w:tabs>
        <w:rPr>
          <w:szCs w:val="24"/>
        </w:rPr>
      </w:pPr>
      <w:r>
        <w:rPr>
          <w:szCs w:val="24"/>
        </w:rPr>
        <w:t>If not payable in whole or in part, issue EOBR utilizing codes listed in Rule 7.740(14)</w:t>
      </w:r>
    </w:p>
    <w:p w:rsidR="00B87B6E" w:rsidRDefault="00B87B6E" w:rsidP="00B87B6E">
      <w:pPr>
        <w:pStyle w:val="ListParagraph"/>
        <w:numPr>
          <w:ilvl w:val="0"/>
          <w:numId w:val="15"/>
        </w:numPr>
        <w:tabs>
          <w:tab w:val="left" w:pos="720"/>
          <w:tab w:val="left" w:pos="1080"/>
          <w:tab w:val="left" w:pos="1440"/>
          <w:tab w:val="left" w:pos="1800"/>
          <w:tab w:val="left" w:pos="3121"/>
        </w:tabs>
        <w:rPr>
          <w:szCs w:val="24"/>
        </w:rPr>
      </w:pPr>
      <w:r>
        <w:rPr>
          <w:szCs w:val="24"/>
        </w:rPr>
        <w:lastRenderedPageBreak/>
        <w:t>If part of bill not payable and others are payable, issue “minimum partial payment.”</w:t>
      </w:r>
    </w:p>
    <w:p w:rsidR="006B1212" w:rsidRDefault="006B1212" w:rsidP="006B1212">
      <w:pPr>
        <w:pStyle w:val="ListParagraph"/>
        <w:tabs>
          <w:tab w:val="left" w:pos="720"/>
          <w:tab w:val="left" w:pos="1080"/>
          <w:tab w:val="left" w:pos="1440"/>
          <w:tab w:val="left" w:pos="1800"/>
          <w:tab w:val="left" w:pos="3121"/>
        </w:tabs>
        <w:ind w:left="2160"/>
        <w:rPr>
          <w:szCs w:val="24"/>
        </w:rPr>
      </w:pPr>
    </w:p>
    <w:p w:rsidR="00B87B6E" w:rsidRPr="00B87B6E" w:rsidRDefault="00B87B6E" w:rsidP="00B87B6E">
      <w:pPr>
        <w:pStyle w:val="ListParagraph"/>
        <w:numPr>
          <w:ilvl w:val="0"/>
          <w:numId w:val="8"/>
        </w:numPr>
        <w:tabs>
          <w:tab w:val="left" w:pos="720"/>
          <w:tab w:val="left" w:pos="1080"/>
          <w:tab w:val="left" w:pos="1440"/>
          <w:tab w:val="left" w:pos="1800"/>
          <w:tab w:val="left" w:pos="3121"/>
        </w:tabs>
        <w:rPr>
          <w:b/>
          <w:szCs w:val="24"/>
          <w:u w:val="single"/>
        </w:rPr>
      </w:pPr>
      <w:r w:rsidRPr="00B87B6E">
        <w:rPr>
          <w:b/>
          <w:szCs w:val="24"/>
          <w:u w:val="single"/>
        </w:rPr>
        <w:t>Response by Provider to EOBR, Rule 69L-31, issued by Employer/Carrier</w:t>
      </w:r>
    </w:p>
    <w:p w:rsidR="00B87B6E" w:rsidRDefault="00B87B6E" w:rsidP="00B87B6E">
      <w:pPr>
        <w:tabs>
          <w:tab w:val="left" w:pos="720"/>
          <w:tab w:val="left" w:pos="1080"/>
          <w:tab w:val="left" w:pos="1440"/>
          <w:tab w:val="left" w:pos="1800"/>
          <w:tab w:val="left" w:pos="3121"/>
        </w:tabs>
        <w:rPr>
          <w:b/>
          <w:szCs w:val="24"/>
          <w:u w:val="single"/>
        </w:rPr>
      </w:pPr>
    </w:p>
    <w:p w:rsidR="00B87B6E" w:rsidRDefault="00B87B6E" w:rsidP="00B87B6E">
      <w:pPr>
        <w:pStyle w:val="ListParagraph"/>
        <w:numPr>
          <w:ilvl w:val="0"/>
          <w:numId w:val="16"/>
        </w:numPr>
        <w:tabs>
          <w:tab w:val="left" w:pos="720"/>
          <w:tab w:val="left" w:pos="1080"/>
          <w:tab w:val="left" w:pos="1440"/>
          <w:tab w:val="left" w:pos="1800"/>
          <w:tab w:val="left" w:pos="3121"/>
        </w:tabs>
        <w:rPr>
          <w:szCs w:val="24"/>
        </w:rPr>
      </w:pPr>
      <w:r>
        <w:rPr>
          <w:szCs w:val="24"/>
        </w:rPr>
        <w:t>Negotiate with Employer/Carrier re: settling bill payment</w:t>
      </w:r>
    </w:p>
    <w:p w:rsidR="00B87B6E" w:rsidRDefault="00B87B6E" w:rsidP="00B87B6E">
      <w:pPr>
        <w:pStyle w:val="ListParagraph"/>
        <w:numPr>
          <w:ilvl w:val="0"/>
          <w:numId w:val="16"/>
        </w:numPr>
        <w:tabs>
          <w:tab w:val="left" w:pos="720"/>
          <w:tab w:val="left" w:pos="1080"/>
          <w:tab w:val="left" w:pos="1440"/>
          <w:tab w:val="left" w:pos="1800"/>
          <w:tab w:val="left" w:pos="3121"/>
        </w:tabs>
        <w:rPr>
          <w:szCs w:val="24"/>
        </w:rPr>
      </w:pPr>
      <w:r>
        <w:rPr>
          <w:szCs w:val="24"/>
        </w:rPr>
        <w:t>Within 45 days:</w:t>
      </w:r>
    </w:p>
    <w:p w:rsidR="006C11DC" w:rsidRDefault="006C11DC" w:rsidP="006C11DC">
      <w:pPr>
        <w:pStyle w:val="ListParagraph"/>
        <w:tabs>
          <w:tab w:val="left" w:pos="720"/>
          <w:tab w:val="left" w:pos="1080"/>
          <w:tab w:val="left" w:pos="1440"/>
          <w:tab w:val="left" w:pos="1800"/>
          <w:tab w:val="left" w:pos="3121"/>
        </w:tabs>
        <w:ind w:left="1440"/>
        <w:rPr>
          <w:szCs w:val="24"/>
        </w:rPr>
      </w:pPr>
    </w:p>
    <w:p w:rsidR="00B87B6E" w:rsidRDefault="00B87B6E" w:rsidP="00B87B6E">
      <w:pPr>
        <w:pStyle w:val="ListParagraph"/>
        <w:numPr>
          <w:ilvl w:val="0"/>
          <w:numId w:val="17"/>
        </w:numPr>
        <w:tabs>
          <w:tab w:val="left" w:pos="720"/>
          <w:tab w:val="left" w:pos="1080"/>
          <w:tab w:val="left" w:pos="1440"/>
          <w:tab w:val="left" w:pos="1800"/>
          <w:tab w:val="left" w:pos="3121"/>
        </w:tabs>
        <w:rPr>
          <w:szCs w:val="24"/>
        </w:rPr>
      </w:pPr>
      <w:r>
        <w:rPr>
          <w:szCs w:val="24"/>
        </w:rPr>
        <w:t>File fully completed Petition for Reimbursement Dispute;</w:t>
      </w:r>
    </w:p>
    <w:p w:rsidR="006C11DC" w:rsidRDefault="006C11DC" w:rsidP="006C11DC">
      <w:pPr>
        <w:pStyle w:val="ListParagraph"/>
        <w:tabs>
          <w:tab w:val="left" w:pos="720"/>
          <w:tab w:val="left" w:pos="1080"/>
          <w:tab w:val="left" w:pos="1440"/>
          <w:tab w:val="left" w:pos="1800"/>
          <w:tab w:val="left" w:pos="3121"/>
        </w:tabs>
        <w:ind w:left="1800"/>
        <w:rPr>
          <w:szCs w:val="24"/>
        </w:rPr>
      </w:pPr>
    </w:p>
    <w:p w:rsidR="00B87B6E" w:rsidRDefault="00B87B6E" w:rsidP="00B87B6E">
      <w:pPr>
        <w:pStyle w:val="ListParagraph"/>
        <w:numPr>
          <w:ilvl w:val="0"/>
          <w:numId w:val="17"/>
        </w:numPr>
        <w:tabs>
          <w:tab w:val="left" w:pos="720"/>
          <w:tab w:val="left" w:pos="1080"/>
          <w:tab w:val="left" w:pos="1440"/>
          <w:tab w:val="left" w:pos="1800"/>
          <w:tab w:val="left" w:pos="3121"/>
        </w:tabs>
        <w:rPr>
          <w:szCs w:val="24"/>
        </w:rPr>
      </w:pPr>
      <w:r>
        <w:rPr>
          <w:szCs w:val="24"/>
        </w:rPr>
        <w:t>Petition must include:</w:t>
      </w:r>
    </w:p>
    <w:p w:rsidR="00B87B6E" w:rsidRDefault="00B87B6E" w:rsidP="00B87B6E">
      <w:pPr>
        <w:pStyle w:val="ListParagraph"/>
        <w:numPr>
          <w:ilvl w:val="0"/>
          <w:numId w:val="18"/>
        </w:numPr>
        <w:tabs>
          <w:tab w:val="left" w:pos="720"/>
          <w:tab w:val="left" w:pos="1080"/>
          <w:tab w:val="left" w:pos="1440"/>
          <w:tab w:val="left" w:pos="1800"/>
          <w:tab w:val="left" w:pos="3121"/>
        </w:tabs>
        <w:rPr>
          <w:szCs w:val="24"/>
        </w:rPr>
      </w:pPr>
      <w:r>
        <w:rPr>
          <w:szCs w:val="24"/>
        </w:rPr>
        <w:t>Disputed bill or service authorized either actual authorization or emergency are;</w:t>
      </w:r>
    </w:p>
    <w:p w:rsidR="00B87B6E" w:rsidRDefault="00B87B6E" w:rsidP="00B87B6E">
      <w:pPr>
        <w:pStyle w:val="ListParagraph"/>
        <w:numPr>
          <w:ilvl w:val="0"/>
          <w:numId w:val="18"/>
        </w:numPr>
        <w:tabs>
          <w:tab w:val="left" w:pos="720"/>
          <w:tab w:val="left" w:pos="1080"/>
          <w:tab w:val="left" w:pos="1440"/>
          <w:tab w:val="left" w:pos="1800"/>
          <w:tab w:val="left" w:pos="3121"/>
        </w:tabs>
        <w:rPr>
          <w:szCs w:val="24"/>
        </w:rPr>
      </w:pPr>
      <w:r>
        <w:rPr>
          <w:szCs w:val="24"/>
        </w:rPr>
        <w:t>Medical documentation showing service actually performed;</w:t>
      </w:r>
    </w:p>
    <w:p w:rsidR="00AF4966" w:rsidRDefault="00B87B6E" w:rsidP="00AF4966">
      <w:pPr>
        <w:pStyle w:val="ListParagraph"/>
        <w:numPr>
          <w:ilvl w:val="0"/>
          <w:numId w:val="18"/>
        </w:numPr>
        <w:tabs>
          <w:tab w:val="left" w:pos="720"/>
          <w:tab w:val="left" w:pos="1080"/>
          <w:tab w:val="left" w:pos="1440"/>
          <w:tab w:val="left" w:pos="1800"/>
          <w:tab w:val="left" w:pos="3121"/>
        </w:tabs>
        <w:rPr>
          <w:szCs w:val="24"/>
        </w:rPr>
      </w:pPr>
      <w:r>
        <w:rPr>
          <w:szCs w:val="24"/>
        </w:rPr>
        <w:t>Any contract or managed care arrangement concerning treatment</w:t>
      </w:r>
      <w:r w:rsidR="00AF4966">
        <w:rPr>
          <w:szCs w:val="24"/>
        </w:rPr>
        <w:t>.</w:t>
      </w:r>
    </w:p>
    <w:p w:rsidR="006C11DC" w:rsidRDefault="006C11DC" w:rsidP="006C11DC">
      <w:pPr>
        <w:pStyle w:val="ListParagraph"/>
        <w:tabs>
          <w:tab w:val="left" w:pos="720"/>
          <w:tab w:val="left" w:pos="1080"/>
          <w:tab w:val="left" w:pos="1440"/>
          <w:tab w:val="left" w:pos="1800"/>
          <w:tab w:val="left" w:pos="3121"/>
        </w:tabs>
        <w:ind w:left="2160"/>
        <w:rPr>
          <w:szCs w:val="24"/>
        </w:rPr>
      </w:pPr>
    </w:p>
    <w:p w:rsidR="00B87B6E" w:rsidRDefault="00AF4966" w:rsidP="00AF4966">
      <w:pPr>
        <w:pStyle w:val="ListParagraph"/>
        <w:numPr>
          <w:ilvl w:val="0"/>
          <w:numId w:val="17"/>
        </w:numPr>
        <w:tabs>
          <w:tab w:val="left" w:pos="720"/>
          <w:tab w:val="left" w:pos="1080"/>
          <w:tab w:val="left" w:pos="1440"/>
          <w:tab w:val="left" w:pos="1800"/>
          <w:tab w:val="left" w:pos="3121"/>
        </w:tabs>
        <w:rPr>
          <w:szCs w:val="24"/>
        </w:rPr>
      </w:pPr>
      <w:r>
        <w:rPr>
          <w:szCs w:val="24"/>
        </w:rPr>
        <w:t xml:space="preserve">Respond </w:t>
      </w:r>
      <w:r w:rsidR="00B87B6E" w:rsidRPr="00AF4966">
        <w:rPr>
          <w:szCs w:val="24"/>
        </w:rPr>
        <w:t>to “Notice of Deficiency” of Petition filed by Division which gives the provider a certain amount of time to provide documentation.</w:t>
      </w:r>
    </w:p>
    <w:p w:rsidR="006C11DC" w:rsidRDefault="006C11DC" w:rsidP="006C11DC">
      <w:pPr>
        <w:pStyle w:val="ListParagraph"/>
        <w:tabs>
          <w:tab w:val="left" w:pos="720"/>
          <w:tab w:val="left" w:pos="1080"/>
          <w:tab w:val="left" w:pos="1440"/>
          <w:tab w:val="left" w:pos="1800"/>
          <w:tab w:val="left" w:pos="3121"/>
        </w:tabs>
        <w:ind w:left="1800"/>
        <w:rPr>
          <w:szCs w:val="24"/>
        </w:rPr>
      </w:pPr>
    </w:p>
    <w:p w:rsidR="00B87B6E" w:rsidRDefault="00AF4966" w:rsidP="00AF4966">
      <w:pPr>
        <w:pStyle w:val="ListParagraph"/>
        <w:numPr>
          <w:ilvl w:val="0"/>
          <w:numId w:val="17"/>
        </w:numPr>
        <w:tabs>
          <w:tab w:val="left" w:pos="720"/>
          <w:tab w:val="left" w:pos="1080"/>
          <w:tab w:val="left" w:pos="1440"/>
          <w:tab w:val="left" w:pos="1800"/>
          <w:tab w:val="left" w:pos="3121"/>
        </w:tabs>
        <w:rPr>
          <w:szCs w:val="24"/>
        </w:rPr>
      </w:pPr>
      <w:r>
        <w:rPr>
          <w:szCs w:val="24"/>
        </w:rPr>
        <w:t>Response by Employer/Carrier to Petition filed by Provider:</w:t>
      </w:r>
    </w:p>
    <w:p w:rsidR="00AF4966" w:rsidRDefault="00AF4966" w:rsidP="00AF4966">
      <w:pPr>
        <w:pStyle w:val="ListParagraph"/>
        <w:numPr>
          <w:ilvl w:val="0"/>
          <w:numId w:val="19"/>
        </w:numPr>
        <w:tabs>
          <w:tab w:val="left" w:pos="720"/>
          <w:tab w:val="left" w:pos="1080"/>
          <w:tab w:val="left" w:pos="1440"/>
          <w:tab w:val="left" w:pos="1800"/>
          <w:tab w:val="left" w:pos="3121"/>
        </w:tabs>
        <w:rPr>
          <w:szCs w:val="24"/>
        </w:rPr>
      </w:pPr>
      <w:r>
        <w:rPr>
          <w:szCs w:val="24"/>
        </w:rPr>
        <w:t>Within 30 days from receipt of a Petition for Reimbursement Dispute filed by provider, file a Response</w:t>
      </w:r>
    </w:p>
    <w:p w:rsidR="006C11DC" w:rsidRDefault="006C11DC" w:rsidP="006C11DC">
      <w:pPr>
        <w:pStyle w:val="ListParagraph"/>
        <w:tabs>
          <w:tab w:val="left" w:pos="720"/>
          <w:tab w:val="left" w:pos="1080"/>
          <w:tab w:val="left" w:pos="1440"/>
          <w:tab w:val="left" w:pos="1800"/>
          <w:tab w:val="left" w:pos="3121"/>
        </w:tabs>
        <w:ind w:left="2160"/>
        <w:rPr>
          <w:szCs w:val="24"/>
        </w:rPr>
      </w:pPr>
    </w:p>
    <w:p w:rsidR="00AF4966" w:rsidRDefault="00AF4966" w:rsidP="00AF4966">
      <w:pPr>
        <w:pStyle w:val="ListParagraph"/>
        <w:numPr>
          <w:ilvl w:val="0"/>
          <w:numId w:val="19"/>
        </w:numPr>
        <w:tabs>
          <w:tab w:val="left" w:pos="720"/>
          <w:tab w:val="left" w:pos="1080"/>
          <w:tab w:val="left" w:pos="1440"/>
          <w:tab w:val="left" w:pos="1800"/>
          <w:tab w:val="left" w:pos="3121"/>
        </w:tabs>
        <w:rPr>
          <w:szCs w:val="24"/>
        </w:rPr>
      </w:pPr>
      <w:r>
        <w:rPr>
          <w:szCs w:val="24"/>
        </w:rPr>
        <w:t>Response must:</w:t>
      </w:r>
    </w:p>
    <w:p w:rsidR="00AF4966" w:rsidRDefault="00AF4966" w:rsidP="00AF4966">
      <w:pPr>
        <w:pStyle w:val="ListParagraph"/>
        <w:numPr>
          <w:ilvl w:val="0"/>
          <w:numId w:val="20"/>
        </w:numPr>
        <w:tabs>
          <w:tab w:val="left" w:pos="720"/>
          <w:tab w:val="left" w:pos="1080"/>
          <w:tab w:val="left" w:pos="1440"/>
          <w:tab w:val="left" w:pos="1800"/>
          <w:tab w:val="left" w:pos="3121"/>
        </w:tabs>
        <w:rPr>
          <w:szCs w:val="24"/>
        </w:rPr>
      </w:pPr>
      <w:r>
        <w:rPr>
          <w:szCs w:val="24"/>
        </w:rPr>
        <w:t>Be on Division-required form completed in full;</w:t>
      </w:r>
    </w:p>
    <w:p w:rsidR="00AF4966" w:rsidRDefault="00AF4966" w:rsidP="00AF4966">
      <w:pPr>
        <w:pStyle w:val="ListParagraph"/>
        <w:numPr>
          <w:ilvl w:val="0"/>
          <w:numId w:val="20"/>
        </w:numPr>
        <w:tabs>
          <w:tab w:val="left" w:pos="720"/>
          <w:tab w:val="left" w:pos="1080"/>
          <w:tab w:val="left" w:pos="1440"/>
          <w:tab w:val="left" w:pos="1800"/>
          <w:tab w:val="left" w:pos="3121"/>
        </w:tabs>
        <w:rPr>
          <w:szCs w:val="24"/>
        </w:rPr>
      </w:pPr>
      <w:r>
        <w:rPr>
          <w:szCs w:val="24"/>
        </w:rPr>
        <w:t>Provide all information that is relevant to any adjustment or payment defense which may include peer review and a letter from the employer/carriers medical director;</w:t>
      </w:r>
    </w:p>
    <w:p w:rsidR="00AF4966" w:rsidRDefault="00AF4966" w:rsidP="00AF4966">
      <w:pPr>
        <w:pStyle w:val="ListParagraph"/>
        <w:numPr>
          <w:ilvl w:val="0"/>
          <w:numId w:val="20"/>
        </w:numPr>
        <w:tabs>
          <w:tab w:val="left" w:pos="720"/>
          <w:tab w:val="left" w:pos="1080"/>
          <w:tab w:val="left" w:pos="1440"/>
          <w:tab w:val="left" w:pos="1800"/>
          <w:tab w:val="left" w:pos="3121"/>
        </w:tabs>
        <w:rPr>
          <w:szCs w:val="24"/>
        </w:rPr>
      </w:pPr>
      <w:r>
        <w:rPr>
          <w:szCs w:val="24"/>
        </w:rPr>
        <w:t>Any relevant reimbursement contract and network agreement. The Employer/Carrier must show/demonstrate the contract applies to the provider and that the contract provisions support the carrier’s adjustment of payment.</w:t>
      </w:r>
    </w:p>
    <w:p w:rsidR="006C11DC" w:rsidRPr="00AF4966" w:rsidRDefault="006C11DC" w:rsidP="006C11DC">
      <w:pPr>
        <w:pStyle w:val="ListParagraph"/>
        <w:tabs>
          <w:tab w:val="left" w:pos="720"/>
          <w:tab w:val="left" w:pos="1080"/>
          <w:tab w:val="left" w:pos="1440"/>
          <w:tab w:val="left" w:pos="1800"/>
          <w:tab w:val="left" w:pos="3121"/>
        </w:tabs>
        <w:ind w:left="2520"/>
        <w:rPr>
          <w:szCs w:val="24"/>
        </w:rPr>
      </w:pPr>
    </w:p>
    <w:p w:rsidR="00404C33" w:rsidRPr="006C11DC" w:rsidRDefault="00404C33" w:rsidP="00404C33">
      <w:pPr>
        <w:pStyle w:val="ListParagraph"/>
        <w:numPr>
          <w:ilvl w:val="0"/>
          <w:numId w:val="19"/>
        </w:numPr>
        <w:tabs>
          <w:tab w:val="left" w:pos="720"/>
          <w:tab w:val="left" w:pos="1080"/>
          <w:tab w:val="left" w:pos="1440"/>
          <w:tab w:val="left" w:pos="3121"/>
        </w:tabs>
        <w:rPr>
          <w:b/>
          <w:szCs w:val="24"/>
        </w:rPr>
      </w:pPr>
      <w:r w:rsidRPr="006C11DC">
        <w:rPr>
          <w:szCs w:val="24"/>
        </w:rPr>
        <w:t>Failure of Employer/Carrier to file a Response results in a waiver of any arguments the E/C would otherwise be entitled to raise.</w:t>
      </w:r>
    </w:p>
    <w:p w:rsidR="00B015A6" w:rsidRPr="006C11DC" w:rsidRDefault="00B015A6" w:rsidP="00B015A6">
      <w:pPr>
        <w:pStyle w:val="ListParagraph"/>
        <w:tabs>
          <w:tab w:val="left" w:pos="720"/>
          <w:tab w:val="left" w:pos="1080"/>
          <w:tab w:val="left" w:pos="1440"/>
          <w:tab w:val="left" w:pos="3121"/>
        </w:tabs>
        <w:ind w:left="2160"/>
        <w:rPr>
          <w:szCs w:val="24"/>
        </w:rPr>
      </w:pPr>
    </w:p>
    <w:p w:rsidR="00EF4A49" w:rsidRDefault="00B015A6" w:rsidP="00B015A6">
      <w:pPr>
        <w:pStyle w:val="ListParagraph"/>
        <w:numPr>
          <w:ilvl w:val="0"/>
          <w:numId w:val="17"/>
        </w:numPr>
        <w:tabs>
          <w:tab w:val="left" w:pos="720"/>
          <w:tab w:val="left" w:pos="1440"/>
          <w:tab w:val="left" w:pos="1890"/>
        </w:tabs>
      </w:pPr>
      <w:r>
        <w:rPr>
          <w:u w:val="single"/>
        </w:rPr>
        <w:t>D</w:t>
      </w:r>
      <w:r w:rsidRPr="00B015A6">
        <w:rPr>
          <w:u w:val="single"/>
        </w:rPr>
        <w:t>ispute Determination §440.13(7), F.S.</w:t>
      </w:r>
      <w:r>
        <w:tab/>
      </w:r>
    </w:p>
    <w:p w:rsidR="006C11DC" w:rsidRDefault="006C11DC" w:rsidP="006C11DC">
      <w:pPr>
        <w:pStyle w:val="ListParagraph"/>
        <w:tabs>
          <w:tab w:val="left" w:pos="720"/>
          <w:tab w:val="left" w:pos="1440"/>
          <w:tab w:val="left" w:pos="1890"/>
        </w:tabs>
        <w:ind w:left="1800"/>
      </w:pPr>
    </w:p>
    <w:p w:rsidR="00B015A6" w:rsidRDefault="00B015A6" w:rsidP="00B015A6">
      <w:pPr>
        <w:pStyle w:val="ListParagraph"/>
        <w:numPr>
          <w:ilvl w:val="0"/>
          <w:numId w:val="21"/>
        </w:numPr>
        <w:tabs>
          <w:tab w:val="left" w:pos="720"/>
          <w:tab w:val="left" w:pos="1440"/>
          <w:tab w:val="left" w:pos="1800"/>
        </w:tabs>
        <w:ind w:left="2160"/>
      </w:pPr>
      <w:r>
        <w:t>Payments ordered by Division must be based on a “maximum reimbursement allowance (MRA) or an agreed upon price.</w:t>
      </w:r>
    </w:p>
    <w:p w:rsidR="006C11DC" w:rsidRDefault="006C11DC" w:rsidP="006C11DC">
      <w:pPr>
        <w:pStyle w:val="ListParagraph"/>
        <w:tabs>
          <w:tab w:val="left" w:pos="720"/>
          <w:tab w:val="left" w:pos="1440"/>
          <w:tab w:val="left" w:pos="1800"/>
        </w:tabs>
        <w:ind w:left="2160"/>
      </w:pPr>
    </w:p>
    <w:p w:rsidR="00B015A6" w:rsidRPr="007B4447" w:rsidRDefault="00B015A6" w:rsidP="00B015A6">
      <w:pPr>
        <w:pStyle w:val="ListParagraph"/>
        <w:numPr>
          <w:ilvl w:val="0"/>
          <w:numId w:val="21"/>
        </w:numPr>
        <w:tabs>
          <w:tab w:val="left" w:pos="720"/>
          <w:tab w:val="left" w:pos="1440"/>
          <w:tab w:val="left" w:pos="1800"/>
        </w:tabs>
        <w:ind w:left="2160"/>
      </w:pPr>
      <w:r>
        <w:lastRenderedPageBreak/>
        <w:t xml:space="preserve">Must be “commercially reasonable.”  The Division takes the position that where there is no MRA established in a reimbursement manual, certain categories of payment must be based on a percentage of the provider’s “billed charges.” </w:t>
      </w:r>
      <w:r>
        <w:rPr>
          <w:u w:val="single"/>
        </w:rPr>
        <w:t>We do not agree with this position in certain instances and therefore subject to challenge.</w:t>
      </w:r>
    </w:p>
    <w:p w:rsidR="007B4447" w:rsidRDefault="007B4447" w:rsidP="007B4447">
      <w:pPr>
        <w:pStyle w:val="ListParagraph"/>
      </w:pPr>
    </w:p>
    <w:p w:rsidR="00B015A6" w:rsidRDefault="00B015A6" w:rsidP="00B015A6">
      <w:pPr>
        <w:pStyle w:val="ListParagraph"/>
        <w:numPr>
          <w:ilvl w:val="0"/>
          <w:numId w:val="21"/>
        </w:numPr>
        <w:tabs>
          <w:tab w:val="left" w:pos="720"/>
          <w:tab w:val="left" w:pos="1440"/>
          <w:tab w:val="left" w:pos="1800"/>
        </w:tabs>
        <w:ind w:left="2160"/>
      </w:pPr>
      <w:r>
        <w:t>If the E/C fails to respond to a provider petition, the Division will assume that the E/C waives all objections to the petition.</w:t>
      </w:r>
    </w:p>
    <w:p w:rsidR="00481DF2" w:rsidRDefault="00481DF2" w:rsidP="00481DF2">
      <w:pPr>
        <w:pStyle w:val="ListParagraph"/>
        <w:tabs>
          <w:tab w:val="left" w:pos="720"/>
          <w:tab w:val="left" w:pos="1440"/>
          <w:tab w:val="left" w:pos="1800"/>
        </w:tabs>
        <w:ind w:left="2160"/>
      </w:pPr>
    </w:p>
    <w:p w:rsidR="004D1787" w:rsidRPr="006C11DC" w:rsidRDefault="004D1787" w:rsidP="004D1787">
      <w:pPr>
        <w:pStyle w:val="ListParagraph"/>
        <w:numPr>
          <w:ilvl w:val="0"/>
          <w:numId w:val="17"/>
        </w:numPr>
        <w:tabs>
          <w:tab w:val="left" w:pos="720"/>
          <w:tab w:val="left" w:pos="1440"/>
          <w:tab w:val="left" w:pos="1800"/>
        </w:tabs>
      </w:pPr>
      <w:r>
        <w:rPr>
          <w:u w:val="single"/>
        </w:rPr>
        <w:t>Administrative Appeal to DOAH or Alternatively to a Department Hearing Officer</w:t>
      </w:r>
    </w:p>
    <w:p w:rsidR="006C11DC" w:rsidRDefault="006C11DC" w:rsidP="006C11DC">
      <w:pPr>
        <w:pStyle w:val="ListParagraph"/>
        <w:tabs>
          <w:tab w:val="left" w:pos="720"/>
          <w:tab w:val="left" w:pos="1440"/>
          <w:tab w:val="left" w:pos="1800"/>
        </w:tabs>
        <w:ind w:left="1800"/>
      </w:pPr>
    </w:p>
    <w:p w:rsidR="004D1787" w:rsidRDefault="004D1787" w:rsidP="004D1787">
      <w:pPr>
        <w:pStyle w:val="ListParagraph"/>
        <w:numPr>
          <w:ilvl w:val="0"/>
          <w:numId w:val="22"/>
        </w:numPr>
        <w:tabs>
          <w:tab w:val="left" w:pos="720"/>
          <w:tab w:val="left" w:pos="1440"/>
          <w:tab w:val="left" w:pos="1800"/>
        </w:tabs>
      </w:pPr>
      <w:r>
        <w:t>Either party may appeal pursuant to t</w:t>
      </w:r>
      <w:r w:rsidR="002D7641">
        <w:t>he Administrative Procedures Act – Chapter 120, F.S., §§120.569 and 120.57, Florida Statutes.</w:t>
      </w:r>
    </w:p>
    <w:p w:rsidR="006C11DC" w:rsidRDefault="006C11DC" w:rsidP="006C11DC">
      <w:pPr>
        <w:pStyle w:val="ListParagraph"/>
        <w:tabs>
          <w:tab w:val="left" w:pos="720"/>
          <w:tab w:val="left" w:pos="1440"/>
          <w:tab w:val="left" w:pos="1800"/>
        </w:tabs>
        <w:ind w:left="2160"/>
      </w:pPr>
    </w:p>
    <w:p w:rsidR="002D7641" w:rsidRDefault="002D7641" w:rsidP="004D1787">
      <w:pPr>
        <w:pStyle w:val="ListParagraph"/>
        <w:numPr>
          <w:ilvl w:val="0"/>
          <w:numId w:val="22"/>
        </w:numPr>
        <w:tabs>
          <w:tab w:val="left" w:pos="720"/>
          <w:tab w:val="left" w:pos="1440"/>
          <w:tab w:val="left" w:pos="1800"/>
        </w:tabs>
      </w:pPr>
      <w:r>
        <w:t>Appeal must be taken within 21 days of receipt of the determination. The appeal must meet certain factual, legal, and uniform pleading requirements.  The case is then assigned to an ALJ for determination if there is a dispute of fact or law or for internal review if there is no such dispute.</w:t>
      </w:r>
    </w:p>
    <w:p w:rsidR="00864016" w:rsidRDefault="00864016" w:rsidP="00864016">
      <w:pPr>
        <w:tabs>
          <w:tab w:val="left" w:pos="720"/>
          <w:tab w:val="left" w:pos="1440"/>
          <w:tab w:val="left" w:pos="1800"/>
        </w:tabs>
      </w:pPr>
    </w:p>
    <w:p w:rsidR="00864016" w:rsidRDefault="00864016" w:rsidP="00864016">
      <w:pPr>
        <w:pStyle w:val="ListParagraph"/>
        <w:numPr>
          <w:ilvl w:val="0"/>
          <w:numId w:val="1"/>
        </w:numPr>
        <w:tabs>
          <w:tab w:val="left" w:pos="720"/>
          <w:tab w:val="left" w:pos="1440"/>
          <w:tab w:val="left" w:pos="1800"/>
        </w:tabs>
        <w:rPr>
          <w:sz w:val="26"/>
          <w:szCs w:val="26"/>
        </w:rPr>
      </w:pPr>
      <w:r>
        <w:rPr>
          <w:b/>
          <w:sz w:val="26"/>
          <w:szCs w:val="26"/>
          <w:u w:val="single"/>
        </w:rPr>
        <w:t>Frequent</w:t>
      </w:r>
      <w:r w:rsidR="009B52FC">
        <w:rPr>
          <w:b/>
          <w:sz w:val="26"/>
          <w:szCs w:val="26"/>
          <w:u w:val="single"/>
        </w:rPr>
        <w:t>ly</w:t>
      </w:r>
      <w:r>
        <w:rPr>
          <w:b/>
          <w:sz w:val="26"/>
          <w:szCs w:val="26"/>
          <w:u w:val="single"/>
        </w:rPr>
        <w:t xml:space="preserve"> Litigated Issues</w:t>
      </w:r>
    </w:p>
    <w:p w:rsidR="00864016" w:rsidRDefault="00864016" w:rsidP="00864016">
      <w:pPr>
        <w:tabs>
          <w:tab w:val="left" w:pos="720"/>
          <w:tab w:val="left" w:pos="1440"/>
          <w:tab w:val="left" w:pos="1800"/>
        </w:tabs>
        <w:rPr>
          <w:sz w:val="26"/>
          <w:szCs w:val="26"/>
        </w:rPr>
      </w:pPr>
      <w:r>
        <w:rPr>
          <w:sz w:val="26"/>
          <w:szCs w:val="26"/>
        </w:rPr>
        <w:tab/>
      </w:r>
    </w:p>
    <w:p w:rsidR="00864016" w:rsidRDefault="00864016" w:rsidP="00864016">
      <w:pPr>
        <w:pStyle w:val="ListParagraph"/>
        <w:numPr>
          <w:ilvl w:val="0"/>
          <w:numId w:val="23"/>
        </w:numPr>
        <w:tabs>
          <w:tab w:val="left" w:pos="720"/>
          <w:tab w:val="left" w:pos="1440"/>
          <w:tab w:val="left" w:pos="1800"/>
        </w:tabs>
        <w:rPr>
          <w:b/>
          <w:szCs w:val="24"/>
          <w:u w:val="single"/>
        </w:rPr>
      </w:pPr>
      <w:r>
        <w:rPr>
          <w:b/>
          <w:szCs w:val="24"/>
          <w:u w:val="single"/>
        </w:rPr>
        <w:t>Authorization of Doctors or Other Medical Care Providers</w:t>
      </w:r>
    </w:p>
    <w:p w:rsidR="00352CFF" w:rsidRDefault="00352CFF" w:rsidP="00352CFF">
      <w:pPr>
        <w:pStyle w:val="ListParagraph"/>
        <w:tabs>
          <w:tab w:val="left" w:pos="720"/>
          <w:tab w:val="left" w:pos="1440"/>
          <w:tab w:val="left" w:pos="1800"/>
        </w:tabs>
        <w:ind w:left="1080"/>
        <w:rPr>
          <w:b/>
          <w:szCs w:val="24"/>
          <w:u w:val="single"/>
        </w:rPr>
      </w:pPr>
    </w:p>
    <w:p w:rsidR="00864016" w:rsidRDefault="00864016" w:rsidP="00864016">
      <w:pPr>
        <w:pStyle w:val="ListParagraph"/>
        <w:numPr>
          <w:ilvl w:val="0"/>
          <w:numId w:val="24"/>
        </w:numPr>
        <w:tabs>
          <w:tab w:val="left" w:pos="720"/>
          <w:tab w:val="left" w:pos="1440"/>
          <w:tab w:val="left" w:pos="1800"/>
        </w:tabs>
        <w:rPr>
          <w:szCs w:val="24"/>
        </w:rPr>
      </w:pPr>
      <w:r>
        <w:rPr>
          <w:szCs w:val="24"/>
        </w:rPr>
        <w:t>Claims handlers are required by law to have written procedures for receiving, reviewing, documenting and responding to requests for authorization.  §440.13(e), Florida Statutes.</w:t>
      </w:r>
    </w:p>
    <w:p w:rsidR="006C11DC" w:rsidRDefault="006C11DC" w:rsidP="006C11DC">
      <w:pPr>
        <w:pStyle w:val="ListParagraph"/>
        <w:tabs>
          <w:tab w:val="left" w:pos="720"/>
          <w:tab w:val="left" w:pos="1440"/>
          <w:tab w:val="left" w:pos="1800"/>
        </w:tabs>
        <w:ind w:left="1800"/>
        <w:rPr>
          <w:szCs w:val="24"/>
        </w:rPr>
      </w:pPr>
    </w:p>
    <w:p w:rsidR="00864016" w:rsidRDefault="00864016" w:rsidP="00864016">
      <w:pPr>
        <w:pStyle w:val="ListParagraph"/>
        <w:numPr>
          <w:ilvl w:val="0"/>
          <w:numId w:val="24"/>
        </w:numPr>
        <w:tabs>
          <w:tab w:val="left" w:pos="720"/>
          <w:tab w:val="left" w:pos="1440"/>
          <w:tab w:val="left" w:pos="1800"/>
        </w:tabs>
        <w:rPr>
          <w:szCs w:val="24"/>
        </w:rPr>
      </w:pPr>
      <w:r>
        <w:rPr>
          <w:szCs w:val="24"/>
        </w:rPr>
        <w:t>The Division intends to aggressively audit and fine carriers failing to routinely meet the response deadlines for responses to authorization requests as required by §440.13(3), F.S., i.e., response deadlines within 3 or 10 days.</w:t>
      </w:r>
    </w:p>
    <w:p w:rsidR="006C11DC" w:rsidRPr="006C11DC" w:rsidRDefault="006C11DC" w:rsidP="006C11DC">
      <w:pPr>
        <w:pStyle w:val="ListParagraph"/>
        <w:rPr>
          <w:szCs w:val="24"/>
        </w:rPr>
      </w:pPr>
    </w:p>
    <w:p w:rsidR="00864016" w:rsidRDefault="00864016" w:rsidP="00864016">
      <w:pPr>
        <w:pStyle w:val="ListParagraph"/>
        <w:numPr>
          <w:ilvl w:val="0"/>
          <w:numId w:val="24"/>
        </w:numPr>
        <w:tabs>
          <w:tab w:val="left" w:pos="720"/>
          <w:tab w:val="left" w:pos="1440"/>
          <w:tab w:val="left" w:pos="1800"/>
        </w:tabs>
        <w:rPr>
          <w:szCs w:val="24"/>
        </w:rPr>
      </w:pPr>
      <w:r>
        <w:rPr>
          <w:szCs w:val="24"/>
        </w:rPr>
        <w:t>Neither statute nor rules state what should be in written procedures.  Recommendations:</w:t>
      </w:r>
    </w:p>
    <w:p w:rsidR="001868FD" w:rsidRPr="001868FD" w:rsidRDefault="001868FD" w:rsidP="00B230A6">
      <w:pPr>
        <w:pStyle w:val="ListParagraph"/>
        <w:numPr>
          <w:ilvl w:val="0"/>
          <w:numId w:val="37"/>
        </w:numPr>
        <w:tabs>
          <w:tab w:val="left" w:pos="1800"/>
          <w:tab w:val="left" w:pos="2160"/>
        </w:tabs>
        <w:ind w:firstLine="720"/>
        <w:rPr>
          <w:szCs w:val="24"/>
        </w:rPr>
      </w:pPr>
      <w:r w:rsidRPr="001868FD">
        <w:rPr>
          <w:szCs w:val="24"/>
        </w:rPr>
        <w:t xml:space="preserve">Send Authorization response letters to every provider.  The Division pays </w:t>
      </w:r>
      <w:r w:rsidR="00B230A6">
        <w:rPr>
          <w:szCs w:val="24"/>
        </w:rPr>
        <w:tab/>
      </w:r>
      <w:r w:rsidR="00B230A6">
        <w:rPr>
          <w:szCs w:val="24"/>
        </w:rPr>
        <w:tab/>
      </w:r>
      <w:r w:rsidR="00B230A6">
        <w:rPr>
          <w:szCs w:val="24"/>
        </w:rPr>
        <w:tab/>
      </w:r>
      <w:r w:rsidRPr="001868FD">
        <w:rPr>
          <w:szCs w:val="24"/>
        </w:rPr>
        <w:t xml:space="preserve">close attention to the details of authorization letters, including any </w:t>
      </w:r>
      <w:r w:rsidR="00B230A6">
        <w:rPr>
          <w:szCs w:val="24"/>
        </w:rPr>
        <w:tab/>
      </w:r>
      <w:r w:rsidR="00B230A6">
        <w:rPr>
          <w:szCs w:val="24"/>
        </w:rPr>
        <w:tab/>
      </w:r>
      <w:r w:rsidR="00B230A6">
        <w:rPr>
          <w:szCs w:val="24"/>
        </w:rPr>
        <w:tab/>
      </w:r>
      <w:r w:rsidR="00B230A6">
        <w:rPr>
          <w:szCs w:val="24"/>
        </w:rPr>
        <w:tab/>
      </w:r>
      <w:r w:rsidRPr="001868FD">
        <w:rPr>
          <w:szCs w:val="24"/>
        </w:rPr>
        <w:t xml:space="preserve">limitations on treatment, terms of payment, and requests for </w:t>
      </w:r>
      <w:r w:rsidR="00B230A6">
        <w:rPr>
          <w:szCs w:val="24"/>
        </w:rPr>
        <w:tab/>
      </w:r>
      <w:r w:rsidR="00B230A6">
        <w:rPr>
          <w:szCs w:val="24"/>
        </w:rPr>
        <w:tab/>
      </w:r>
      <w:r w:rsidR="00B230A6">
        <w:rPr>
          <w:szCs w:val="24"/>
        </w:rPr>
        <w:tab/>
      </w:r>
      <w:r w:rsidR="00B230A6">
        <w:rPr>
          <w:szCs w:val="24"/>
        </w:rPr>
        <w:tab/>
      </w:r>
      <w:r w:rsidRPr="001868FD">
        <w:rPr>
          <w:szCs w:val="24"/>
        </w:rPr>
        <w:t>documentation for utilization review and payment.</w:t>
      </w:r>
    </w:p>
    <w:p w:rsidR="001868FD" w:rsidRDefault="001868FD" w:rsidP="00B230A6">
      <w:pPr>
        <w:pStyle w:val="ListParagraph"/>
        <w:numPr>
          <w:ilvl w:val="0"/>
          <w:numId w:val="37"/>
        </w:numPr>
        <w:tabs>
          <w:tab w:val="left" w:pos="1800"/>
          <w:tab w:val="left" w:pos="2160"/>
        </w:tabs>
        <w:ind w:firstLine="720"/>
        <w:rPr>
          <w:szCs w:val="24"/>
        </w:rPr>
      </w:pPr>
      <w:r>
        <w:rPr>
          <w:szCs w:val="24"/>
        </w:rPr>
        <w:t xml:space="preserve">List the scope of the authorized evaluation and any treatment as </w:t>
      </w:r>
      <w:r w:rsidR="00B230A6">
        <w:rPr>
          <w:szCs w:val="24"/>
        </w:rPr>
        <w:tab/>
      </w:r>
      <w:r w:rsidR="00B230A6">
        <w:rPr>
          <w:szCs w:val="24"/>
        </w:rPr>
        <w:tab/>
      </w:r>
      <w:r w:rsidR="00B230A6">
        <w:rPr>
          <w:szCs w:val="24"/>
        </w:rPr>
        <w:tab/>
      </w:r>
      <w:r w:rsidR="00B230A6">
        <w:rPr>
          <w:szCs w:val="24"/>
        </w:rPr>
        <w:tab/>
      </w:r>
      <w:r>
        <w:rPr>
          <w:szCs w:val="24"/>
        </w:rPr>
        <w:t>specifically as possible.</w:t>
      </w:r>
      <w:r w:rsidR="00B230A6">
        <w:rPr>
          <w:szCs w:val="24"/>
        </w:rPr>
        <w:t xml:space="preserve"> </w:t>
      </w:r>
      <w:r w:rsidR="00D5404E" w:rsidRPr="00D5404E">
        <w:rPr>
          <w:szCs w:val="24"/>
          <w:u w:val="single"/>
        </w:rPr>
        <w:t xml:space="preserve">Sanchez v. YRC, </w:t>
      </w:r>
      <w:r w:rsidR="00D5404E" w:rsidRPr="00D5404E">
        <w:rPr>
          <w:szCs w:val="24"/>
          <w:u w:val="single"/>
        </w:rPr>
        <w:lastRenderedPageBreak/>
        <w:t>Inc./Sedgwick</w:t>
      </w:r>
      <w:r w:rsidR="00D5404E">
        <w:rPr>
          <w:szCs w:val="24"/>
        </w:rPr>
        <w:t xml:space="preserve">, 304 So.3d </w:t>
      </w:r>
      <w:r w:rsidR="00D5404E">
        <w:rPr>
          <w:szCs w:val="24"/>
        </w:rPr>
        <w:tab/>
      </w:r>
      <w:r w:rsidR="00D5404E">
        <w:rPr>
          <w:szCs w:val="24"/>
        </w:rPr>
        <w:tab/>
      </w:r>
      <w:r w:rsidR="00D5404E">
        <w:rPr>
          <w:szCs w:val="24"/>
        </w:rPr>
        <w:tab/>
        <w:t>358(Fla. 1</w:t>
      </w:r>
      <w:r w:rsidR="00D5404E" w:rsidRPr="00D5404E">
        <w:rPr>
          <w:szCs w:val="24"/>
          <w:vertAlign w:val="superscript"/>
        </w:rPr>
        <w:t>st</w:t>
      </w:r>
      <w:r w:rsidR="00D5404E">
        <w:rPr>
          <w:szCs w:val="24"/>
        </w:rPr>
        <w:t xml:space="preserve"> DCA 2020); </w:t>
      </w:r>
      <w:r w:rsidR="00D5404E" w:rsidRPr="00D5404E">
        <w:rPr>
          <w:szCs w:val="24"/>
          <w:u w:val="single"/>
        </w:rPr>
        <w:t>Sullivan v. NuCo2, LLC/Broadspire</w:t>
      </w:r>
      <w:r w:rsidR="00D5404E">
        <w:rPr>
          <w:szCs w:val="24"/>
        </w:rPr>
        <w:t xml:space="preserve">, 308 So.3d </w:t>
      </w:r>
      <w:r w:rsidR="00D5404E">
        <w:rPr>
          <w:szCs w:val="24"/>
        </w:rPr>
        <w:tab/>
      </w:r>
      <w:r w:rsidR="00D5404E">
        <w:rPr>
          <w:szCs w:val="24"/>
        </w:rPr>
        <w:tab/>
      </w:r>
      <w:r w:rsidR="00D5404E">
        <w:rPr>
          <w:szCs w:val="24"/>
        </w:rPr>
        <w:tab/>
        <w:t>659(Fla. 1</w:t>
      </w:r>
      <w:r w:rsidR="00D5404E" w:rsidRPr="00D5404E">
        <w:rPr>
          <w:szCs w:val="24"/>
          <w:vertAlign w:val="superscript"/>
        </w:rPr>
        <w:t>st</w:t>
      </w:r>
      <w:r w:rsidR="00D5404E">
        <w:rPr>
          <w:szCs w:val="24"/>
        </w:rPr>
        <w:t xml:space="preserve"> DCA 2020)</w:t>
      </w:r>
    </w:p>
    <w:p w:rsidR="00B230A6" w:rsidRDefault="001868FD" w:rsidP="00B230A6">
      <w:pPr>
        <w:pStyle w:val="ListParagraph"/>
        <w:numPr>
          <w:ilvl w:val="0"/>
          <w:numId w:val="37"/>
        </w:numPr>
        <w:tabs>
          <w:tab w:val="left" w:pos="2160"/>
        </w:tabs>
        <w:ind w:firstLine="720"/>
        <w:rPr>
          <w:szCs w:val="24"/>
        </w:rPr>
      </w:pPr>
      <w:r>
        <w:rPr>
          <w:szCs w:val="24"/>
        </w:rPr>
        <w:t xml:space="preserve">List expectations for medical reporting.  Section 440.13(15)(c), Fla. Stat., </w:t>
      </w:r>
      <w:r w:rsidR="00B230A6">
        <w:rPr>
          <w:szCs w:val="24"/>
        </w:rPr>
        <w:tab/>
      </w:r>
      <w:r>
        <w:rPr>
          <w:szCs w:val="24"/>
        </w:rPr>
        <w:t>requires written reports every thirty days, or sooner if applicable.</w:t>
      </w:r>
    </w:p>
    <w:p w:rsidR="001868FD" w:rsidRPr="00B230A6" w:rsidRDefault="001868FD" w:rsidP="00B230A6">
      <w:pPr>
        <w:pStyle w:val="ListParagraph"/>
        <w:numPr>
          <w:ilvl w:val="0"/>
          <w:numId w:val="37"/>
        </w:numPr>
        <w:tabs>
          <w:tab w:val="left" w:pos="2160"/>
        </w:tabs>
        <w:ind w:firstLine="720"/>
        <w:rPr>
          <w:szCs w:val="24"/>
        </w:rPr>
      </w:pPr>
      <w:r w:rsidRPr="00B230A6">
        <w:rPr>
          <w:szCs w:val="24"/>
        </w:rPr>
        <w:t xml:space="preserve">List any payment agreement, if applicable.  Try to set a standard or </w:t>
      </w:r>
      <w:r w:rsidR="00B230A6">
        <w:rPr>
          <w:szCs w:val="24"/>
        </w:rPr>
        <w:tab/>
      </w:r>
      <w:r w:rsidRPr="00B230A6">
        <w:rPr>
          <w:szCs w:val="24"/>
        </w:rPr>
        <w:t xml:space="preserve">benchmark for payments where no MRA has been established. Include </w:t>
      </w:r>
      <w:r w:rsidR="00B230A6">
        <w:rPr>
          <w:szCs w:val="24"/>
        </w:rPr>
        <w:tab/>
      </w:r>
      <w:r w:rsidRPr="00B230A6">
        <w:rPr>
          <w:szCs w:val="24"/>
        </w:rPr>
        <w:t xml:space="preserve">language that all payments must be commercially reasonable and in </w:t>
      </w:r>
      <w:r w:rsidR="00B230A6">
        <w:rPr>
          <w:szCs w:val="24"/>
        </w:rPr>
        <w:tab/>
      </w:r>
      <w:r w:rsidRPr="00B230A6">
        <w:rPr>
          <w:szCs w:val="24"/>
        </w:rPr>
        <w:t>compliance with chapter 440, Fla. Stat.</w:t>
      </w:r>
    </w:p>
    <w:p w:rsidR="001868FD" w:rsidRPr="00B969AC" w:rsidRDefault="001868FD" w:rsidP="00B230A6">
      <w:pPr>
        <w:pStyle w:val="ListParagraph"/>
        <w:numPr>
          <w:ilvl w:val="0"/>
          <w:numId w:val="37"/>
        </w:numPr>
        <w:tabs>
          <w:tab w:val="left" w:pos="2160"/>
        </w:tabs>
        <w:ind w:firstLine="720"/>
        <w:rPr>
          <w:b/>
          <w:szCs w:val="24"/>
          <w:u w:val="single"/>
        </w:rPr>
      </w:pPr>
      <w:r w:rsidRPr="00C44AC4">
        <w:rPr>
          <w:szCs w:val="24"/>
        </w:rPr>
        <w:t xml:space="preserve">List any limitations on authorization.  For example, we recommend: “The </w:t>
      </w:r>
      <w:r w:rsidR="00B230A6">
        <w:rPr>
          <w:szCs w:val="24"/>
        </w:rPr>
        <w:tab/>
      </w:r>
      <w:r w:rsidRPr="00C44AC4">
        <w:rPr>
          <w:szCs w:val="24"/>
        </w:rPr>
        <w:t xml:space="preserve">carrier will not reimburse any practitioner dispensed medications without </w:t>
      </w:r>
      <w:r w:rsidR="00B230A6">
        <w:rPr>
          <w:szCs w:val="24"/>
        </w:rPr>
        <w:tab/>
      </w:r>
      <w:r w:rsidRPr="00C44AC4">
        <w:rPr>
          <w:szCs w:val="24"/>
        </w:rPr>
        <w:t xml:space="preserve">specific, prior written agreement as to the type, strength, and quantity of </w:t>
      </w:r>
      <w:r w:rsidR="00B230A6">
        <w:rPr>
          <w:szCs w:val="24"/>
        </w:rPr>
        <w:tab/>
      </w:r>
      <w:r w:rsidRPr="00C44AC4">
        <w:rPr>
          <w:szCs w:val="24"/>
        </w:rPr>
        <w:t xml:space="preserve">such medication.” We recommend that any such authorizations consider </w:t>
      </w:r>
      <w:r w:rsidR="00B230A6">
        <w:rPr>
          <w:szCs w:val="24"/>
        </w:rPr>
        <w:tab/>
      </w:r>
      <w:r w:rsidRPr="00C44AC4">
        <w:rPr>
          <w:szCs w:val="24"/>
        </w:rPr>
        <w:t xml:space="preserve">an agreement on the price of such medication, or whether such medication </w:t>
      </w:r>
      <w:r w:rsidR="00B230A6">
        <w:rPr>
          <w:szCs w:val="24"/>
        </w:rPr>
        <w:tab/>
      </w:r>
      <w:r w:rsidRPr="00C44AC4">
        <w:rPr>
          <w:szCs w:val="24"/>
        </w:rPr>
        <w:t xml:space="preserve">bills must be processed through a Pharmacy Benefit Program or other </w:t>
      </w:r>
      <w:r w:rsidR="00B230A6">
        <w:rPr>
          <w:szCs w:val="24"/>
        </w:rPr>
        <w:tab/>
      </w:r>
      <w:r w:rsidRPr="00C44AC4">
        <w:rPr>
          <w:szCs w:val="24"/>
        </w:rPr>
        <w:t xml:space="preserve">benefit manager.  Additionally, we recommend language to the effect: </w:t>
      </w:r>
      <w:r w:rsidR="00B230A6">
        <w:rPr>
          <w:szCs w:val="24"/>
        </w:rPr>
        <w:tab/>
      </w:r>
      <w:r w:rsidRPr="00C44AC4">
        <w:rPr>
          <w:szCs w:val="24"/>
        </w:rPr>
        <w:t xml:space="preserve">“Authorization of the provider does not include authorization of </w:t>
      </w:r>
      <w:r w:rsidR="00B230A6">
        <w:rPr>
          <w:szCs w:val="24"/>
        </w:rPr>
        <w:tab/>
      </w:r>
      <w:r w:rsidRPr="00C44AC4">
        <w:rPr>
          <w:szCs w:val="24"/>
        </w:rPr>
        <w:t xml:space="preserve">subsequently recommended treatment plans without express authorization </w:t>
      </w:r>
      <w:r w:rsidR="00B230A6">
        <w:rPr>
          <w:szCs w:val="24"/>
        </w:rPr>
        <w:tab/>
      </w:r>
      <w:r w:rsidRPr="00C44AC4">
        <w:rPr>
          <w:szCs w:val="24"/>
        </w:rPr>
        <w:t>from the carrier.”</w:t>
      </w:r>
    </w:p>
    <w:p w:rsidR="00B969AC" w:rsidRPr="00B969AC" w:rsidRDefault="00B969AC" w:rsidP="00B969AC">
      <w:pPr>
        <w:pStyle w:val="ListParagraph"/>
        <w:tabs>
          <w:tab w:val="left" w:pos="2160"/>
        </w:tabs>
        <w:ind w:left="1800"/>
        <w:rPr>
          <w:b/>
          <w:szCs w:val="24"/>
          <w:u w:val="single"/>
        </w:rPr>
      </w:pPr>
    </w:p>
    <w:p w:rsidR="00B969AC" w:rsidRPr="0050162A" w:rsidRDefault="00B969AC" w:rsidP="00B969AC">
      <w:pPr>
        <w:pStyle w:val="ListParagraph"/>
        <w:numPr>
          <w:ilvl w:val="0"/>
          <w:numId w:val="24"/>
        </w:numPr>
        <w:tabs>
          <w:tab w:val="left" w:pos="2160"/>
        </w:tabs>
        <w:rPr>
          <w:b/>
          <w:szCs w:val="24"/>
          <w:u w:val="single"/>
        </w:rPr>
      </w:pPr>
      <w:r>
        <w:rPr>
          <w:szCs w:val="24"/>
        </w:rPr>
        <w:t xml:space="preserve">Authorization for treatment is a condition precedent to payment. See, section 440.13(3)(a), Fla. Stat., and failure to obtain authorization is basis for payment </w:t>
      </w:r>
      <w:r w:rsidRPr="00B969AC">
        <w:rPr>
          <w:szCs w:val="24"/>
          <w:u w:val="single"/>
        </w:rPr>
        <w:t>disallowance.</w:t>
      </w:r>
    </w:p>
    <w:p w:rsidR="0050162A" w:rsidRPr="001905C9" w:rsidRDefault="0050162A" w:rsidP="0050162A">
      <w:pPr>
        <w:pStyle w:val="ListParagraph"/>
        <w:tabs>
          <w:tab w:val="left" w:pos="2160"/>
        </w:tabs>
        <w:ind w:left="1800"/>
        <w:rPr>
          <w:b/>
          <w:szCs w:val="24"/>
          <w:u w:val="single"/>
        </w:rPr>
      </w:pPr>
    </w:p>
    <w:p w:rsidR="0050162A" w:rsidRPr="0050162A" w:rsidRDefault="0050162A" w:rsidP="00B969AC">
      <w:pPr>
        <w:pStyle w:val="ListParagraph"/>
        <w:numPr>
          <w:ilvl w:val="0"/>
          <w:numId w:val="24"/>
        </w:numPr>
        <w:tabs>
          <w:tab w:val="left" w:pos="2160"/>
        </w:tabs>
        <w:rPr>
          <w:b/>
          <w:szCs w:val="24"/>
          <w:u w:val="single"/>
        </w:rPr>
      </w:pPr>
      <w:r>
        <w:rPr>
          <w:szCs w:val="24"/>
        </w:rPr>
        <w:t xml:space="preserve">Failure to respond to request for authorization within 3 business days leads to waiving medical necessity of the </w:t>
      </w:r>
      <w:r w:rsidRPr="0050162A">
        <w:rPr>
          <w:szCs w:val="24"/>
          <w:u w:val="single"/>
        </w:rPr>
        <w:t xml:space="preserve">referral </w:t>
      </w:r>
      <w:r>
        <w:rPr>
          <w:szCs w:val="24"/>
        </w:rPr>
        <w:t xml:space="preserve">for evaluation, but not to waiver of the medical necessity of subsequently recommended treatment.  </w:t>
      </w:r>
    </w:p>
    <w:p w:rsidR="0050162A" w:rsidRPr="0050162A" w:rsidRDefault="0050162A" w:rsidP="0050162A">
      <w:pPr>
        <w:pStyle w:val="ListParagraph"/>
        <w:rPr>
          <w:szCs w:val="24"/>
        </w:rPr>
      </w:pPr>
    </w:p>
    <w:p w:rsidR="001905C9" w:rsidRPr="00B969AC" w:rsidRDefault="0050162A" w:rsidP="00B969AC">
      <w:pPr>
        <w:pStyle w:val="ListParagraph"/>
        <w:numPr>
          <w:ilvl w:val="0"/>
          <w:numId w:val="24"/>
        </w:numPr>
        <w:tabs>
          <w:tab w:val="left" w:pos="2160"/>
        </w:tabs>
        <w:rPr>
          <w:b/>
          <w:szCs w:val="24"/>
          <w:u w:val="single"/>
        </w:rPr>
      </w:pPr>
      <w:r>
        <w:rPr>
          <w:szCs w:val="24"/>
        </w:rPr>
        <w:t>The carrier controls authorization, unless they fail to respond and provide treatment, and claimant thereafter seeks authorization from the JCC for medically necessary and causally related care.</w:t>
      </w:r>
    </w:p>
    <w:p w:rsidR="008C1C1F" w:rsidRDefault="008C1C1F" w:rsidP="008C1C1F">
      <w:pPr>
        <w:tabs>
          <w:tab w:val="left" w:pos="720"/>
          <w:tab w:val="left" w:pos="1440"/>
          <w:tab w:val="left" w:pos="1800"/>
        </w:tabs>
        <w:rPr>
          <w:szCs w:val="24"/>
        </w:rPr>
      </w:pPr>
    </w:p>
    <w:p w:rsidR="008C1C1F" w:rsidRDefault="008C1C1F" w:rsidP="008C1C1F">
      <w:pPr>
        <w:pStyle w:val="ListParagraph"/>
        <w:numPr>
          <w:ilvl w:val="0"/>
          <w:numId w:val="23"/>
        </w:numPr>
        <w:tabs>
          <w:tab w:val="left" w:pos="720"/>
          <w:tab w:val="left" w:pos="1440"/>
          <w:tab w:val="left" w:pos="1800"/>
        </w:tabs>
        <w:rPr>
          <w:b/>
          <w:szCs w:val="24"/>
          <w:u w:val="single"/>
        </w:rPr>
      </w:pPr>
      <w:r>
        <w:rPr>
          <w:b/>
          <w:szCs w:val="24"/>
          <w:u w:val="single"/>
        </w:rPr>
        <w:t>Excessive Billing Amounts</w:t>
      </w:r>
      <w:r w:rsidR="002C2AC4">
        <w:rPr>
          <w:b/>
          <w:szCs w:val="24"/>
          <w:u w:val="single"/>
        </w:rPr>
        <w:t xml:space="preserve"> Charged by Medical</w:t>
      </w:r>
      <w:r w:rsidR="00A0750B" w:rsidRPr="00A0750B">
        <w:rPr>
          <w:b/>
          <w:szCs w:val="24"/>
          <w:u w:val="single"/>
        </w:rPr>
        <w:t xml:space="preserve"> Providers</w:t>
      </w:r>
    </w:p>
    <w:p w:rsidR="00352CFF" w:rsidRPr="00A0750B" w:rsidRDefault="00352CFF" w:rsidP="00352CFF">
      <w:pPr>
        <w:pStyle w:val="ListParagraph"/>
        <w:tabs>
          <w:tab w:val="left" w:pos="720"/>
          <w:tab w:val="left" w:pos="1440"/>
          <w:tab w:val="left" w:pos="1800"/>
        </w:tabs>
        <w:ind w:left="1080"/>
        <w:rPr>
          <w:b/>
          <w:szCs w:val="24"/>
          <w:u w:val="single"/>
        </w:rPr>
      </w:pPr>
    </w:p>
    <w:p w:rsidR="00A0750B" w:rsidRDefault="00A0750B" w:rsidP="008B1C93">
      <w:pPr>
        <w:pStyle w:val="ListParagraph"/>
        <w:numPr>
          <w:ilvl w:val="0"/>
          <w:numId w:val="26"/>
        </w:numPr>
        <w:tabs>
          <w:tab w:val="left" w:pos="720"/>
          <w:tab w:val="left" w:pos="1440"/>
          <w:tab w:val="left" w:pos="1800"/>
        </w:tabs>
        <w:jc w:val="both"/>
        <w:rPr>
          <w:szCs w:val="24"/>
        </w:rPr>
      </w:pPr>
      <w:r>
        <w:rPr>
          <w:szCs w:val="24"/>
        </w:rPr>
        <w:t>Review Division Schedules for Provider’s maximum Reimbursement Amount. Not all treatments have a MRA.  If no MRA, contact the provider to negotiate a commercially reasonable payment amount.</w:t>
      </w:r>
      <w:r w:rsidR="00EB7CDE">
        <w:rPr>
          <w:szCs w:val="24"/>
        </w:rPr>
        <w:t xml:space="preserve">  Note that the Division is Promulgating a large number of new MRAs for Outpatient hospital and ASC treatment.  If adopted, these new MRAs will reduce the number of “price” based disputes where no MRA previously existed.  The Division is also promulgating a new, three-tiered per diem reimbursement methodology for inpatient hospital bills.</w:t>
      </w:r>
    </w:p>
    <w:p w:rsidR="006C11DC" w:rsidRDefault="006C11DC" w:rsidP="006C11DC">
      <w:pPr>
        <w:pStyle w:val="ListParagraph"/>
        <w:tabs>
          <w:tab w:val="left" w:pos="720"/>
          <w:tab w:val="left" w:pos="1440"/>
          <w:tab w:val="left" w:pos="1800"/>
        </w:tabs>
        <w:ind w:left="1800"/>
        <w:jc w:val="both"/>
        <w:rPr>
          <w:szCs w:val="24"/>
        </w:rPr>
      </w:pPr>
    </w:p>
    <w:p w:rsidR="00A0750B" w:rsidRDefault="00A0750B" w:rsidP="008B1C93">
      <w:pPr>
        <w:pStyle w:val="ListParagraph"/>
        <w:numPr>
          <w:ilvl w:val="0"/>
          <w:numId w:val="26"/>
        </w:numPr>
        <w:tabs>
          <w:tab w:val="left" w:pos="720"/>
          <w:tab w:val="left" w:pos="1440"/>
          <w:tab w:val="left" w:pos="1800"/>
        </w:tabs>
        <w:jc w:val="both"/>
        <w:rPr>
          <w:szCs w:val="24"/>
        </w:rPr>
      </w:pPr>
      <w:r>
        <w:rPr>
          <w:szCs w:val="24"/>
        </w:rPr>
        <w:lastRenderedPageBreak/>
        <w:t xml:space="preserve">Have technical bill review by professionals to verify, through a standard bill review process, whether a facility or other large bill is appropriately considered a “clean bill” before it is considered ripe for payment.  This involves review to confirm that all treatment was ordered by a physician, medically necessary, therapeutically appropriate, actually provided and reviewed for unbundling, including supplies that should be “baked into” a surgical charge or the use of inappropriate billing codes, modifiers, or pricing for a particular service. Such bill review for a “clean bill” should be made before any negotiation or payment of a significant bill is undertaken. </w:t>
      </w:r>
    </w:p>
    <w:p w:rsidR="006C11DC" w:rsidRPr="006C11DC" w:rsidRDefault="006C11DC" w:rsidP="006C11DC">
      <w:pPr>
        <w:pStyle w:val="ListParagraph"/>
        <w:rPr>
          <w:szCs w:val="24"/>
        </w:rPr>
      </w:pPr>
    </w:p>
    <w:p w:rsidR="00A0750B" w:rsidRDefault="00A0750B" w:rsidP="008B1C93">
      <w:pPr>
        <w:pStyle w:val="ListParagraph"/>
        <w:numPr>
          <w:ilvl w:val="0"/>
          <w:numId w:val="26"/>
        </w:numPr>
        <w:tabs>
          <w:tab w:val="left" w:pos="720"/>
          <w:tab w:val="left" w:pos="1440"/>
          <w:tab w:val="left" w:pos="1800"/>
        </w:tabs>
        <w:jc w:val="both"/>
        <w:rPr>
          <w:szCs w:val="24"/>
        </w:rPr>
      </w:pPr>
      <w:r>
        <w:rPr>
          <w:szCs w:val="24"/>
        </w:rPr>
        <w:t xml:space="preserve">Ensure that large bills and designated fee </w:t>
      </w:r>
      <w:r w:rsidR="0019540B">
        <w:rPr>
          <w:szCs w:val="24"/>
        </w:rPr>
        <w:t xml:space="preserve">schedules are consistent with the law, e.g., see </w:t>
      </w:r>
      <w:r w:rsidR="0019540B" w:rsidRPr="0019540B">
        <w:rPr>
          <w:i/>
          <w:szCs w:val="24"/>
        </w:rPr>
        <w:t>Zenith Insurance Co. v. Department of Financial Services</w:t>
      </w:r>
      <w:r w:rsidR="0019540B">
        <w:rPr>
          <w:szCs w:val="24"/>
        </w:rPr>
        <w:t>, Division of Workers’ Compensation DOAH Case No. 18-3844 (Recommended Order May 8, 2019) concerning large inpatient hospital bills.  There is a question as to whether this ruling will be adopted by the Division of Workers’ Compensation in light of the fact that the Division adopted an alternate per diem rate.</w:t>
      </w:r>
    </w:p>
    <w:p w:rsidR="006C11DC" w:rsidRPr="006C11DC" w:rsidRDefault="006C11DC" w:rsidP="006C11DC">
      <w:pPr>
        <w:pStyle w:val="ListParagraph"/>
        <w:rPr>
          <w:szCs w:val="24"/>
        </w:rPr>
      </w:pPr>
    </w:p>
    <w:p w:rsidR="0019540B" w:rsidRDefault="0019540B" w:rsidP="008B1C93">
      <w:pPr>
        <w:pStyle w:val="ListParagraph"/>
        <w:numPr>
          <w:ilvl w:val="0"/>
          <w:numId w:val="26"/>
        </w:numPr>
        <w:tabs>
          <w:tab w:val="left" w:pos="720"/>
          <w:tab w:val="left" w:pos="1440"/>
          <w:tab w:val="left" w:pos="1800"/>
        </w:tabs>
        <w:jc w:val="both"/>
        <w:rPr>
          <w:szCs w:val="24"/>
        </w:rPr>
      </w:pPr>
      <w:r>
        <w:rPr>
          <w:szCs w:val="24"/>
        </w:rPr>
        <w:t>All bill review entities or carriers have access to benchmarking data through Medispan Drug Data Base, Health Care Blue Book, Optum, Fair Health, All-Claims Payer databases, Medicare, Red Book etc., as well as Reimbursement Manuals with similar procedures or treatment often containing an MRA or “fee schedule.”</w:t>
      </w:r>
    </w:p>
    <w:p w:rsidR="00352CFF" w:rsidRPr="00352CFF" w:rsidRDefault="00352CFF" w:rsidP="00352CFF">
      <w:pPr>
        <w:tabs>
          <w:tab w:val="left" w:pos="720"/>
          <w:tab w:val="left" w:pos="1440"/>
          <w:tab w:val="left" w:pos="1800"/>
        </w:tabs>
        <w:rPr>
          <w:szCs w:val="24"/>
        </w:rPr>
      </w:pPr>
    </w:p>
    <w:p w:rsidR="001B420D" w:rsidRPr="001B420D" w:rsidRDefault="001B420D" w:rsidP="001B420D">
      <w:pPr>
        <w:pStyle w:val="ListParagraph"/>
        <w:numPr>
          <w:ilvl w:val="0"/>
          <w:numId w:val="23"/>
        </w:numPr>
        <w:tabs>
          <w:tab w:val="left" w:pos="720"/>
          <w:tab w:val="left" w:pos="1440"/>
          <w:tab w:val="left" w:pos="1800"/>
        </w:tabs>
        <w:rPr>
          <w:b/>
          <w:szCs w:val="24"/>
        </w:rPr>
      </w:pPr>
      <w:r>
        <w:rPr>
          <w:b/>
          <w:szCs w:val="24"/>
          <w:u w:val="single"/>
        </w:rPr>
        <w:t>Medical Care Providers Prescribing and Dispensing Medications</w:t>
      </w:r>
    </w:p>
    <w:p w:rsidR="001B420D" w:rsidRDefault="001B420D" w:rsidP="001B420D">
      <w:pPr>
        <w:tabs>
          <w:tab w:val="left" w:pos="720"/>
          <w:tab w:val="left" w:pos="1440"/>
          <w:tab w:val="left" w:pos="1800"/>
        </w:tabs>
        <w:rPr>
          <w:b/>
          <w:szCs w:val="24"/>
        </w:rPr>
      </w:pPr>
    </w:p>
    <w:p w:rsidR="001B420D" w:rsidRDefault="001B420D" w:rsidP="001B420D">
      <w:pPr>
        <w:pStyle w:val="ListParagraph"/>
        <w:numPr>
          <w:ilvl w:val="0"/>
          <w:numId w:val="27"/>
        </w:numPr>
        <w:tabs>
          <w:tab w:val="left" w:pos="720"/>
          <w:tab w:val="left" w:pos="1440"/>
          <w:tab w:val="left" w:pos="1800"/>
        </w:tabs>
        <w:rPr>
          <w:szCs w:val="24"/>
        </w:rPr>
      </w:pPr>
      <w:r>
        <w:rPr>
          <w:szCs w:val="24"/>
        </w:rPr>
        <w:t>§440.13, F.S., provides that injured workers have the right to select their own pharmacy for the dispensing of prescribed medications.</w:t>
      </w:r>
    </w:p>
    <w:p w:rsidR="006C11DC" w:rsidRDefault="006C11DC" w:rsidP="006C11DC">
      <w:pPr>
        <w:pStyle w:val="ListParagraph"/>
        <w:tabs>
          <w:tab w:val="left" w:pos="720"/>
          <w:tab w:val="left" w:pos="1440"/>
          <w:tab w:val="left" w:pos="1800"/>
        </w:tabs>
        <w:ind w:left="1800"/>
        <w:rPr>
          <w:szCs w:val="24"/>
        </w:rPr>
      </w:pPr>
    </w:p>
    <w:p w:rsidR="001B420D" w:rsidRDefault="001B420D" w:rsidP="001B420D">
      <w:pPr>
        <w:pStyle w:val="ListParagraph"/>
        <w:numPr>
          <w:ilvl w:val="0"/>
          <w:numId w:val="27"/>
        </w:numPr>
        <w:tabs>
          <w:tab w:val="left" w:pos="720"/>
          <w:tab w:val="left" w:pos="1440"/>
          <w:tab w:val="left" w:pos="1800"/>
        </w:tabs>
        <w:rPr>
          <w:szCs w:val="24"/>
        </w:rPr>
      </w:pPr>
      <w:r>
        <w:rPr>
          <w:szCs w:val="24"/>
        </w:rPr>
        <w:t>Certain doctors and practitioners are allowed to dispense medications from their offices, §465.0276, F.S.</w:t>
      </w:r>
    </w:p>
    <w:p w:rsidR="006C11DC" w:rsidRDefault="006C11DC" w:rsidP="006C11DC">
      <w:pPr>
        <w:pStyle w:val="ListParagraph"/>
        <w:tabs>
          <w:tab w:val="left" w:pos="720"/>
          <w:tab w:val="left" w:pos="1440"/>
          <w:tab w:val="left" w:pos="1800"/>
        </w:tabs>
        <w:ind w:left="1800"/>
        <w:rPr>
          <w:szCs w:val="24"/>
        </w:rPr>
      </w:pPr>
    </w:p>
    <w:p w:rsidR="001B420D" w:rsidRDefault="001B420D" w:rsidP="001B420D">
      <w:pPr>
        <w:pStyle w:val="ListParagraph"/>
        <w:numPr>
          <w:ilvl w:val="0"/>
          <w:numId w:val="27"/>
        </w:numPr>
        <w:tabs>
          <w:tab w:val="left" w:pos="720"/>
          <w:tab w:val="left" w:pos="1440"/>
          <w:tab w:val="left" w:pos="1800"/>
        </w:tabs>
        <w:rPr>
          <w:szCs w:val="24"/>
        </w:rPr>
      </w:pPr>
      <w:r>
        <w:rPr>
          <w:szCs w:val="24"/>
        </w:rPr>
        <w:t>Division of Workers’ Compensation Informational Bulletin DWC-01-2020 dated March 31, 2020.</w:t>
      </w:r>
    </w:p>
    <w:p w:rsidR="006C11DC" w:rsidRDefault="006C11DC" w:rsidP="006C11DC">
      <w:pPr>
        <w:pStyle w:val="ListParagraph"/>
        <w:tabs>
          <w:tab w:val="left" w:pos="720"/>
          <w:tab w:val="left" w:pos="1440"/>
          <w:tab w:val="left" w:pos="1800"/>
        </w:tabs>
        <w:ind w:left="1800"/>
        <w:rPr>
          <w:szCs w:val="24"/>
        </w:rPr>
      </w:pPr>
    </w:p>
    <w:p w:rsidR="001B420D" w:rsidRDefault="001B420D" w:rsidP="001B420D">
      <w:pPr>
        <w:pStyle w:val="ListParagraph"/>
        <w:numPr>
          <w:ilvl w:val="0"/>
          <w:numId w:val="27"/>
        </w:numPr>
        <w:tabs>
          <w:tab w:val="left" w:pos="720"/>
          <w:tab w:val="left" w:pos="1440"/>
          <w:tab w:val="left" w:pos="1800"/>
        </w:tabs>
        <w:rPr>
          <w:szCs w:val="24"/>
        </w:rPr>
      </w:pPr>
      <w:r w:rsidRPr="00D5404E">
        <w:rPr>
          <w:szCs w:val="24"/>
          <w:u w:val="single"/>
        </w:rPr>
        <w:t>In the Matter of Todd Alea, M.D.</w:t>
      </w:r>
      <w:r>
        <w:rPr>
          <w:szCs w:val="24"/>
        </w:rPr>
        <w:t>, Case No.: 122698-WC. Final Order August 3, 2012.</w:t>
      </w:r>
    </w:p>
    <w:p w:rsidR="006C11DC" w:rsidRPr="006C11DC" w:rsidRDefault="006C11DC" w:rsidP="006C11DC">
      <w:pPr>
        <w:pStyle w:val="ListParagraph"/>
        <w:rPr>
          <w:szCs w:val="24"/>
        </w:rPr>
      </w:pPr>
    </w:p>
    <w:p w:rsidR="00D5404E" w:rsidRDefault="00D5404E" w:rsidP="001B420D">
      <w:pPr>
        <w:pStyle w:val="ListParagraph"/>
        <w:numPr>
          <w:ilvl w:val="0"/>
          <w:numId w:val="27"/>
        </w:numPr>
        <w:tabs>
          <w:tab w:val="left" w:pos="720"/>
          <w:tab w:val="left" w:pos="1440"/>
          <w:tab w:val="left" w:pos="1800"/>
        </w:tabs>
        <w:rPr>
          <w:szCs w:val="24"/>
        </w:rPr>
      </w:pPr>
      <w:r w:rsidRPr="00D5404E">
        <w:rPr>
          <w:szCs w:val="24"/>
        </w:rPr>
        <w:t>If a prescription bill is submitted by a third party agency, obtain a contract or similar document setting forth the authority of the third party to collect medication costs on behalf of the dispensing party.</w:t>
      </w:r>
    </w:p>
    <w:p w:rsidR="006C11DC" w:rsidRPr="006C11DC" w:rsidRDefault="006C11DC" w:rsidP="006C11DC">
      <w:pPr>
        <w:pStyle w:val="ListParagraph"/>
        <w:rPr>
          <w:szCs w:val="24"/>
        </w:rPr>
      </w:pPr>
    </w:p>
    <w:p w:rsidR="001B420D" w:rsidRDefault="001B420D" w:rsidP="008B1C93">
      <w:pPr>
        <w:pStyle w:val="ListParagraph"/>
        <w:numPr>
          <w:ilvl w:val="0"/>
          <w:numId w:val="27"/>
        </w:numPr>
        <w:tabs>
          <w:tab w:val="left" w:pos="720"/>
          <w:tab w:val="left" w:pos="1440"/>
          <w:tab w:val="left" w:pos="1800"/>
        </w:tabs>
        <w:jc w:val="both"/>
        <w:rPr>
          <w:szCs w:val="24"/>
        </w:rPr>
      </w:pPr>
      <w:r w:rsidRPr="00281AC1">
        <w:rPr>
          <w:szCs w:val="24"/>
        </w:rPr>
        <w:lastRenderedPageBreak/>
        <w:t>Proposed Rule 69L-7.740 forbids carriers from ever adjusting a bill for</w:t>
      </w:r>
      <w:r>
        <w:rPr>
          <w:szCs w:val="24"/>
        </w:rPr>
        <w:t xml:space="preserve"> medications bas</w:t>
      </w:r>
      <w:r w:rsidR="009548E3">
        <w:rPr>
          <w:szCs w:val="24"/>
        </w:rPr>
        <w:t xml:space="preserve">ed on a lack of authorization. </w:t>
      </w:r>
    </w:p>
    <w:p w:rsidR="009548E3" w:rsidRPr="009548E3" w:rsidRDefault="009548E3" w:rsidP="009548E3">
      <w:pPr>
        <w:pStyle w:val="ListParagraph"/>
        <w:rPr>
          <w:szCs w:val="24"/>
        </w:rPr>
      </w:pPr>
    </w:p>
    <w:p w:rsidR="009548E3" w:rsidRPr="00281AC1" w:rsidRDefault="009548E3" w:rsidP="008B1C93">
      <w:pPr>
        <w:pStyle w:val="ListParagraph"/>
        <w:numPr>
          <w:ilvl w:val="0"/>
          <w:numId w:val="27"/>
        </w:numPr>
        <w:tabs>
          <w:tab w:val="left" w:pos="720"/>
          <w:tab w:val="left" w:pos="1440"/>
          <w:tab w:val="left" w:pos="1800"/>
        </w:tabs>
        <w:jc w:val="both"/>
        <w:rPr>
          <w:szCs w:val="24"/>
        </w:rPr>
      </w:pPr>
      <w:r>
        <w:rPr>
          <w:szCs w:val="24"/>
        </w:rPr>
        <w:t xml:space="preserve">DWC began issuing Determinations of Reimbursement Disputes in July, 2021 finding that carrier may not refuse to authorize practitioner dispensed medication, apparently based on the policy set forth in Bulletin DWC-01-2020.  On May 16, 2022, a group of carriers filed a Petition Requesting an Administrative Law Judge at DOAH to Invalidate this Unadopted Agency Rule and Policy in DOAH Case No.:  22-1472RU.  </w:t>
      </w:r>
      <w:r w:rsidR="00281AC1">
        <w:rPr>
          <w:szCs w:val="24"/>
        </w:rPr>
        <w:t xml:space="preserve">On July 12, 2022, The DWC rescinded that Bulletin, and agreed to initiate rulemaking on the details of practitioner dispensing. </w:t>
      </w:r>
      <w:r w:rsidR="00281AC1" w:rsidRPr="00281AC1">
        <w:rPr>
          <w:szCs w:val="24"/>
        </w:rPr>
        <w:t>The Division’s official position is not yet clear, but in their November 1, 2022 Rule workshop, they suggested that they may still presume that a carrier may not refuse to authorize practitioner dispensing, but industry representatives presented a unified voice in opposition to that position.</w:t>
      </w:r>
    </w:p>
    <w:p w:rsidR="003E4F8D" w:rsidRDefault="003E4F8D" w:rsidP="008B1C93">
      <w:pPr>
        <w:pStyle w:val="ListParagraph"/>
        <w:tabs>
          <w:tab w:val="left" w:pos="720"/>
          <w:tab w:val="left" w:pos="1440"/>
          <w:tab w:val="left" w:pos="1800"/>
        </w:tabs>
        <w:ind w:left="1800"/>
        <w:jc w:val="both"/>
        <w:rPr>
          <w:szCs w:val="24"/>
        </w:rPr>
      </w:pPr>
    </w:p>
    <w:p w:rsidR="002C2AC4" w:rsidRPr="002C2AC4" w:rsidRDefault="002C2AC4" w:rsidP="002C2AC4">
      <w:pPr>
        <w:pStyle w:val="ListParagraph"/>
        <w:numPr>
          <w:ilvl w:val="0"/>
          <w:numId w:val="23"/>
        </w:numPr>
        <w:tabs>
          <w:tab w:val="left" w:pos="720"/>
          <w:tab w:val="left" w:pos="1440"/>
          <w:tab w:val="left" w:pos="1800"/>
        </w:tabs>
        <w:rPr>
          <w:szCs w:val="24"/>
        </w:rPr>
      </w:pPr>
      <w:r>
        <w:rPr>
          <w:b/>
          <w:szCs w:val="24"/>
          <w:u w:val="single"/>
        </w:rPr>
        <w:t>Jurisdiction</w:t>
      </w:r>
    </w:p>
    <w:p w:rsidR="003E4F8D" w:rsidRPr="003E4F8D" w:rsidRDefault="003E4F8D" w:rsidP="003E4F8D">
      <w:pPr>
        <w:pStyle w:val="ListParagraph"/>
        <w:tabs>
          <w:tab w:val="left" w:pos="720"/>
          <w:tab w:val="left" w:pos="1440"/>
          <w:tab w:val="left" w:pos="1800"/>
        </w:tabs>
        <w:ind w:left="1800"/>
        <w:rPr>
          <w:b/>
          <w:szCs w:val="24"/>
        </w:rPr>
      </w:pPr>
    </w:p>
    <w:p w:rsidR="009548E3" w:rsidRDefault="009548E3" w:rsidP="008B1C93">
      <w:pPr>
        <w:pStyle w:val="ListParagraph"/>
        <w:tabs>
          <w:tab w:val="left" w:pos="720"/>
          <w:tab w:val="left" w:pos="1440"/>
          <w:tab w:val="left" w:pos="1800"/>
        </w:tabs>
        <w:ind w:left="1080"/>
        <w:jc w:val="both"/>
        <w:rPr>
          <w:szCs w:val="24"/>
        </w:rPr>
      </w:pPr>
      <w:r>
        <w:rPr>
          <w:szCs w:val="24"/>
        </w:rPr>
        <w:t>Issues often arise relating to whether</w:t>
      </w:r>
      <w:r w:rsidR="006B4650">
        <w:rPr>
          <w:szCs w:val="24"/>
        </w:rPr>
        <w:t xml:space="preserve"> the Judge of Compensation Claims has jurisdiction to decide medical controversies or whether the decision should be made administratively by the Division of Workers’ Compensation.  JCC assumption of jurisdiction brings with it the possibility of an award of attorney fees whereas in administrative proceedings, attorney fee awards are awardable in only extremely rare circumstances</w:t>
      </w:r>
      <w:r w:rsidR="003C4B48">
        <w:rPr>
          <w:szCs w:val="24"/>
        </w:rPr>
        <w:t>. O</w:t>
      </w:r>
      <w:r w:rsidR="00E03F22">
        <w:rPr>
          <w:szCs w:val="24"/>
        </w:rPr>
        <w:t>ftentimes, the Division does not have the needed manpower or inclination to get heavily involved in deciding medical issues, understanding that data shows that medical issues are the number one subject that is most litigated in workers’ compensation matters</w:t>
      </w:r>
      <w:r w:rsidR="003C4B48">
        <w:rPr>
          <w:szCs w:val="24"/>
        </w:rPr>
        <w:t>. If the</w:t>
      </w:r>
      <w:r w:rsidR="006B4650">
        <w:rPr>
          <w:szCs w:val="24"/>
        </w:rPr>
        <w:t xml:space="preserve"> Employer/</w:t>
      </w:r>
      <w:r w:rsidR="00E03F22">
        <w:rPr>
          <w:szCs w:val="24"/>
        </w:rPr>
        <w:t>C</w:t>
      </w:r>
      <w:r w:rsidR="006B4650">
        <w:rPr>
          <w:szCs w:val="24"/>
        </w:rPr>
        <w:t>arrier engages in a pattern or practice of arbitrarily or unreasonably d</w:t>
      </w:r>
      <w:r w:rsidR="003C4B48">
        <w:rPr>
          <w:szCs w:val="24"/>
        </w:rPr>
        <w:t>isallowing or reducing payments, attorney’s fees can be awardable.</w:t>
      </w:r>
      <w:r w:rsidR="006B4650">
        <w:rPr>
          <w:szCs w:val="24"/>
        </w:rPr>
        <w:t xml:space="preserve"> </w:t>
      </w:r>
      <w:r w:rsidR="00E03F22" w:rsidRPr="00E03F22">
        <w:rPr>
          <w:i/>
          <w:szCs w:val="24"/>
        </w:rPr>
        <w:t>Orange County v. Willis</w:t>
      </w:r>
      <w:r w:rsidR="00E03F22">
        <w:rPr>
          <w:szCs w:val="24"/>
        </w:rPr>
        <w:t>, 996 So. 2d 870 (Fla. 1</w:t>
      </w:r>
      <w:r w:rsidR="00E03F22" w:rsidRPr="00E03F22">
        <w:rPr>
          <w:szCs w:val="24"/>
          <w:vertAlign w:val="superscript"/>
        </w:rPr>
        <w:t>st</w:t>
      </w:r>
      <w:r w:rsidR="00E03F22">
        <w:rPr>
          <w:szCs w:val="24"/>
        </w:rPr>
        <w:t xml:space="preserve"> DCA 2008).</w:t>
      </w:r>
      <w:r>
        <w:rPr>
          <w:szCs w:val="24"/>
        </w:rPr>
        <w:t xml:space="preserve">  </w:t>
      </w:r>
    </w:p>
    <w:p w:rsidR="009548E3" w:rsidRDefault="009548E3" w:rsidP="008B1C93">
      <w:pPr>
        <w:pStyle w:val="ListParagraph"/>
        <w:tabs>
          <w:tab w:val="left" w:pos="720"/>
          <w:tab w:val="left" w:pos="1440"/>
          <w:tab w:val="left" w:pos="1800"/>
        </w:tabs>
        <w:ind w:left="1080"/>
        <w:jc w:val="both"/>
        <w:rPr>
          <w:szCs w:val="24"/>
        </w:rPr>
      </w:pPr>
    </w:p>
    <w:p w:rsidR="006B4650" w:rsidRDefault="009548E3" w:rsidP="008B1C93">
      <w:pPr>
        <w:pStyle w:val="ListParagraph"/>
        <w:tabs>
          <w:tab w:val="left" w:pos="720"/>
          <w:tab w:val="left" w:pos="1440"/>
          <w:tab w:val="left" w:pos="1800"/>
        </w:tabs>
        <w:ind w:left="1080"/>
        <w:jc w:val="both"/>
        <w:rPr>
          <w:szCs w:val="24"/>
        </w:rPr>
      </w:pPr>
      <w:r>
        <w:rPr>
          <w:szCs w:val="24"/>
        </w:rPr>
        <w:t xml:space="preserve">It is important to remember that, because Workers’ Compensation is a Legislative Creation, the respective jurisdiction of the JCC and the Division must be clearly determined by the written statute.  One cannot assume any jurisdiction beyond what is specified in the Law.  </w:t>
      </w:r>
      <w:r w:rsidR="006B4650">
        <w:rPr>
          <w:szCs w:val="24"/>
        </w:rPr>
        <w:t>The following is a list of issues over which the Division assumes jurisdiction and those issues th</w:t>
      </w:r>
      <w:r w:rsidR="003C4B48">
        <w:rPr>
          <w:szCs w:val="24"/>
        </w:rPr>
        <w:t>at the JCC assumes jurisdiction:</w:t>
      </w:r>
    </w:p>
    <w:p w:rsidR="00C001E7" w:rsidRDefault="00C001E7" w:rsidP="008C1C1F">
      <w:pPr>
        <w:pStyle w:val="ListParagraph"/>
        <w:tabs>
          <w:tab w:val="left" w:pos="720"/>
          <w:tab w:val="left" w:pos="1440"/>
          <w:tab w:val="left" w:pos="1800"/>
        </w:tabs>
        <w:ind w:left="1080"/>
        <w:rPr>
          <w:szCs w:val="24"/>
        </w:rPr>
      </w:pPr>
    </w:p>
    <w:p w:rsidR="00E03F22" w:rsidRPr="002C2AC4" w:rsidRDefault="00E03F22" w:rsidP="00D4303F">
      <w:pPr>
        <w:pStyle w:val="ListParagraph"/>
        <w:numPr>
          <w:ilvl w:val="0"/>
          <w:numId w:val="32"/>
        </w:numPr>
        <w:tabs>
          <w:tab w:val="left" w:pos="720"/>
          <w:tab w:val="left" w:pos="1440"/>
          <w:tab w:val="left" w:pos="1800"/>
        </w:tabs>
        <w:ind w:hanging="630"/>
        <w:rPr>
          <w:b/>
          <w:szCs w:val="24"/>
        </w:rPr>
      </w:pPr>
      <w:r w:rsidRPr="002C2AC4">
        <w:rPr>
          <w:b/>
          <w:szCs w:val="24"/>
        </w:rPr>
        <w:t>Division of Workers’ Compensation Jurisdiction</w:t>
      </w:r>
    </w:p>
    <w:p w:rsidR="00E03F22" w:rsidRDefault="00E03F22" w:rsidP="00E03F22">
      <w:pPr>
        <w:tabs>
          <w:tab w:val="left" w:pos="720"/>
          <w:tab w:val="left" w:pos="1440"/>
          <w:tab w:val="left" w:pos="1800"/>
        </w:tabs>
        <w:rPr>
          <w:b/>
          <w:szCs w:val="24"/>
        </w:rPr>
      </w:pPr>
    </w:p>
    <w:p w:rsidR="00E03F22" w:rsidRDefault="00E03F22" w:rsidP="002C2AC4">
      <w:pPr>
        <w:pStyle w:val="ListParagraph"/>
        <w:numPr>
          <w:ilvl w:val="0"/>
          <w:numId w:val="38"/>
        </w:numPr>
        <w:tabs>
          <w:tab w:val="left" w:pos="720"/>
          <w:tab w:val="left" w:pos="1440"/>
          <w:tab w:val="left" w:pos="1800"/>
          <w:tab w:val="left" w:pos="2160"/>
        </w:tabs>
        <w:ind w:left="2160"/>
        <w:rPr>
          <w:szCs w:val="24"/>
        </w:rPr>
      </w:pPr>
      <w:r>
        <w:rPr>
          <w:szCs w:val="24"/>
        </w:rPr>
        <w:t>Litigation between the carrier and provider</w:t>
      </w:r>
      <w:r w:rsidR="002C2AC4">
        <w:rPr>
          <w:szCs w:val="24"/>
        </w:rPr>
        <w:t xml:space="preserve"> as to the amount of a doctor’s </w:t>
      </w:r>
      <w:r>
        <w:rPr>
          <w:szCs w:val="24"/>
        </w:rPr>
        <w:t>bill that should be paid.</w:t>
      </w:r>
    </w:p>
    <w:p w:rsidR="006C11DC" w:rsidRDefault="006C11DC" w:rsidP="006C11DC">
      <w:pPr>
        <w:pStyle w:val="ListParagraph"/>
        <w:tabs>
          <w:tab w:val="left" w:pos="720"/>
          <w:tab w:val="left" w:pos="1440"/>
          <w:tab w:val="left" w:pos="1800"/>
          <w:tab w:val="left" w:pos="2160"/>
        </w:tabs>
        <w:ind w:left="2160"/>
        <w:rPr>
          <w:szCs w:val="24"/>
        </w:rPr>
      </w:pPr>
    </w:p>
    <w:p w:rsidR="00526E12" w:rsidRDefault="00526E12" w:rsidP="002C2AC4">
      <w:pPr>
        <w:pStyle w:val="ListParagraph"/>
        <w:numPr>
          <w:ilvl w:val="0"/>
          <w:numId w:val="38"/>
        </w:numPr>
        <w:tabs>
          <w:tab w:val="left" w:pos="-1440"/>
          <w:tab w:val="left" w:pos="2160"/>
        </w:tabs>
        <w:ind w:left="2160"/>
        <w:jc w:val="both"/>
      </w:pPr>
      <w:r w:rsidRPr="003C4B48">
        <w:t>Dispute must be between the employer/carrier and the medical provider and not between the employer/carrier and claimant</w:t>
      </w:r>
      <w:r>
        <w:t xml:space="preserve">. </w:t>
      </w:r>
      <w:r>
        <w:lastRenderedPageBreak/>
        <w:t xml:space="preserve">(Claimant has no standing to file claim for the payment of doctor’s bill where dispute is over the amount of the bill. </w:t>
      </w:r>
      <w:r w:rsidRPr="002C2AC4">
        <w:rPr>
          <w:u w:val="single"/>
        </w:rPr>
        <w:t>J.B.D. Brothers and Masonry, Inc. v. Miranda</w:t>
      </w:r>
      <w:r>
        <w:t xml:space="preserve">, 25 So. 3d 1271.)  </w:t>
      </w:r>
      <w:r w:rsidRPr="002C2AC4">
        <w:rPr>
          <w:u w:val="single"/>
        </w:rPr>
        <w:t>Atlantic Foundation v. Gurlacz</w:t>
      </w:r>
      <w:r>
        <w:t>, 582 So. 2d 10 (Fla. 1</w:t>
      </w:r>
      <w:r w:rsidRPr="002C2AC4">
        <w:rPr>
          <w:vertAlign w:val="superscript"/>
        </w:rPr>
        <w:t>st</w:t>
      </w:r>
      <w:r>
        <w:t xml:space="preserve"> DCA 1991); </w:t>
      </w:r>
      <w:r w:rsidRPr="002C2AC4">
        <w:rPr>
          <w:u w:val="single"/>
        </w:rPr>
        <w:t>Miami Corp v. Freshwater</w:t>
      </w:r>
      <w:r>
        <w:t>, 599 So. 2d 674 (Fla 1</w:t>
      </w:r>
      <w:r w:rsidRPr="002C2AC4">
        <w:rPr>
          <w:vertAlign w:val="superscript"/>
        </w:rPr>
        <w:t>st</w:t>
      </w:r>
      <w:r>
        <w:t xml:space="preserve"> DCA 1992) (en banc); </w:t>
      </w:r>
      <w:r w:rsidRPr="002C2AC4">
        <w:rPr>
          <w:u w:val="single"/>
        </w:rPr>
        <w:t>Lamounette et al v. Elwyn Akins</w:t>
      </w:r>
      <w:r>
        <w:t xml:space="preserve">, 547 So. 2d 1001(1st DCA 1989); </w:t>
      </w:r>
      <w:r w:rsidRPr="002C2AC4">
        <w:rPr>
          <w:u w:val="single"/>
        </w:rPr>
        <w:t>T</w:t>
      </w:r>
      <w:r w:rsidR="00EF6391" w:rsidRPr="002C2AC4">
        <w:rPr>
          <w:u w:val="single"/>
        </w:rPr>
        <w:t>e</w:t>
      </w:r>
      <w:r w:rsidRPr="002C2AC4">
        <w:rPr>
          <w:u w:val="single"/>
        </w:rPr>
        <w:t>rners of Miami Corp. V. M. Felix Freshwater</w:t>
      </w:r>
      <w:r>
        <w:t>, 599 So. 2d 674 (Fla. 1</w:t>
      </w:r>
      <w:r w:rsidRPr="002C2AC4">
        <w:rPr>
          <w:vertAlign w:val="superscript"/>
        </w:rPr>
        <w:t>st</w:t>
      </w:r>
      <w:r>
        <w:t xml:space="preserve"> DCA 1992); </w:t>
      </w:r>
      <w:r w:rsidRPr="002C2AC4">
        <w:rPr>
          <w:u w:val="single"/>
        </w:rPr>
        <w:t>Orange County, Florida v. Willis</w:t>
      </w:r>
      <w:r>
        <w:t>, 996 So. 2d 870 (Fla. 1</w:t>
      </w:r>
      <w:r w:rsidRPr="002C2AC4">
        <w:rPr>
          <w:vertAlign w:val="superscript"/>
        </w:rPr>
        <w:t>st</w:t>
      </w:r>
      <w:r>
        <w:t xml:space="preserve"> DCA 2008; §440.13(1)(4), Florida Statutes.  </w:t>
      </w:r>
    </w:p>
    <w:p w:rsidR="00E03F22" w:rsidRDefault="00E03F22" w:rsidP="00E03F22">
      <w:pPr>
        <w:tabs>
          <w:tab w:val="left" w:pos="720"/>
          <w:tab w:val="left" w:pos="1440"/>
          <w:tab w:val="left" w:pos="1800"/>
        </w:tabs>
        <w:rPr>
          <w:szCs w:val="24"/>
        </w:rPr>
      </w:pPr>
    </w:p>
    <w:p w:rsidR="00E03F22" w:rsidRPr="00296B2D" w:rsidRDefault="00E03F22" w:rsidP="002C2AC4">
      <w:pPr>
        <w:pStyle w:val="ListParagraph"/>
        <w:numPr>
          <w:ilvl w:val="0"/>
          <w:numId w:val="38"/>
        </w:numPr>
        <w:tabs>
          <w:tab w:val="left" w:pos="720"/>
          <w:tab w:val="left" w:pos="1440"/>
          <w:tab w:val="left" w:pos="1800"/>
        </w:tabs>
        <w:ind w:left="2160"/>
        <w:rPr>
          <w:szCs w:val="24"/>
        </w:rPr>
      </w:pPr>
      <w:r w:rsidRPr="003C4B48">
        <w:rPr>
          <w:szCs w:val="24"/>
        </w:rPr>
        <w:t>The dispute is related to authorized medical care for which the claimant is not liable</w:t>
      </w:r>
      <w:r w:rsidRPr="00296B2D">
        <w:rPr>
          <w:szCs w:val="24"/>
        </w:rPr>
        <w:t>.</w:t>
      </w:r>
      <w:r w:rsidR="0084715C">
        <w:t xml:space="preserve">  </w:t>
      </w:r>
      <w:r w:rsidR="0084715C" w:rsidRPr="00296B2D">
        <w:rPr>
          <w:u w:val="single"/>
        </w:rPr>
        <w:t>Platzek v. Rock-a-Way, Inc.</w:t>
      </w:r>
      <w:r w:rsidR="0084715C">
        <w:t>, 512 So. 2d 233(Fla 1</w:t>
      </w:r>
      <w:r w:rsidR="0084715C" w:rsidRPr="00296B2D">
        <w:rPr>
          <w:vertAlign w:val="superscript"/>
        </w:rPr>
        <w:t>st</w:t>
      </w:r>
      <w:r w:rsidR="0084715C">
        <w:t xml:space="preserve"> DCA 1995); </w:t>
      </w:r>
      <w:r w:rsidR="0084715C" w:rsidRPr="00296B2D">
        <w:rPr>
          <w:u w:val="single"/>
        </w:rPr>
        <w:t>Long Grove Builders v. Haun</w:t>
      </w:r>
      <w:r w:rsidR="0084715C">
        <w:t>, 508 So. 2d 476(Fla. 1</w:t>
      </w:r>
      <w:r w:rsidR="0084715C" w:rsidRPr="00296B2D">
        <w:rPr>
          <w:vertAlign w:val="superscript"/>
        </w:rPr>
        <w:t>st</w:t>
      </w:r>
      <w:r w:rsidR="0084715C">
        <w:t xml:space="preserve"> DCA 1987); </w:t>
      </w:r>
      <w:r w:rsidR="0084715C" w:rsidRPr="00296B2D">
        <w:rPr>
          <w:u w:val="single"/>
        </w:rPr>
        <w:t>The Avalon Center v. Hardaway</w:t>
      </w:r>
      <w:r w:rsidR="0084715C">
        <w:t>, 967 So. 2d 268 (Fla 1</w:t>
      </w:r>
      <w:r w:rsidR="0084715C" w:rsidRPr="00296B2D">
        <w:rPr>
          <w:vertAlign w:val="superscript"/>
        </w:rPr>
        <w:t>st</w:t>
      </w:r>
      <w:r w:rsidR="0084715C">
        <w:t xml:space="preserve"> DCA 2007).</w:t>
      </w:r>
    </w:p>
    <w:p w:rsidR="00E03F22" w:rsidRDefault="00E03F22" w:rsidP="00E03F22">
      <w:pPr>
        <w:tabs>
          <w:tab w:val="left" w:pos="720"/>
          <w:tab w:val="left" w:pos="1440"/>
          <w:tab w:val="left" w:pos="1800"/>
        </w:tabs>
        <w:rPr>
          <w:szCs w:val="24"/>
        </w:rPr>
      </w:pPr>
    </w:p>
    <w:p w:rsidR="00E03F22" w:rsidRPr="00296B2D" w:rsidRDefault="00E03F22" w:rsidP="002C2AC4">
      <w:pPr>
        <w:pStyle w:val="ListParagraph"/>
        <w:numPr>
          <w:ilvl w:val="0"/>
          <w:numId w:val="38"/>
        </w:numPr>
        <w:tabs>
          <w:tab w:val="left" w:pos="720"/>
          <w:tab w:val="left" w:pos="1440"/>
          <w:tab w:val="left" w:pos="1800"/>
        </w:tabs>
        <w:ind w:left="2160"/>
        <w:rPr>
          <w:szCs w:val="24"/>
        </w:rPr>
      </w:pPr>
      <w:r w:rsidRPr="003C4B48">
        <w:rPr>
          <w:szCs w:val="24"/>
        </w:rPr>
        <w:t>The dispute must relate to specific billings for care that has been provided and not future medical care.</w:t>
      </w:r>
      <w:r w:rsidR="00296B2D" w:rsidRPr="00296B2D">
        <w:rPr>
          <w:szCs w:val="24"/>
        </w:rPr>
        <w:t xml:space="preserve"> </w:t>
      </w:r>
      <w:r w:rsidR="00E8453E">
        <w:rPr>
          <w:u w:val="single"/>
        </w:rPr>
        <w:t>Furtick v. William Shults Contractors</w:t>
      </w:r>
      <w:r w:rsidR="00E8453E">
        <w:t>, supra;</w:t>
      </w:r>
    </w:p>
    <w:p w:rsidR="00296B2D" w:rsidRDefault="00E03F22" w:rsidP="00296B2D">
      <w:pPr>
        <w:tabs>
          <w:tab w:val="left" w:pos="-1440"/>
        </w:tabs>
        <w:ind w:left="2160" w:hanging="720"/>
        <w:jc w:val="both"/>
      </w:pPr>
      <w:r>
        <w:rPr>
          <w:szCs w:val="24"/>
        </w:rPr>
        <w:tab/>
      </w:r>
      <w:r w:rsidR="00296B2D">
        <w:rPr>
          <w:u w:val="single"/>
        </w:rPr>
        <w:t>Carswell v. Broderick Construction</w:t>
      </w:r>
      <w:r w:rsidR="00296B2D">
        <w:t>, 583 So. 2d 803(Fla. 1</w:t>
      </w:r>
      <w:r w:rsidR="00296B2D">
        <w:rPr>
          <w:vertAlign w:val="superscript"/>
        </w:rPr>
        <w:t>st</w:t>
      </w:r>
      <w:r w:rsidR="00296B2D">
        <w:t xml:space="preserve"> DCA 1991); </w:t>
      </w:r>
      <w:r w:rsidR="00296B2D">
        <w:rPr>
          <w:u w:val="single"/>
        </w:rPr>
        <w:t>Williams v. Triple J. Enterprises</w:t>
      </w:r>
      <w:r w:rsidR="00296B2D">
        <w:t>, 650 So. 2d 1114.  (See infra re: ability to claim for reimbursements of past medical bills.)</w:t>
      </w:r>
    </w:p>
    <w:p w:rsidR="00E03F22" w:rsidRDefault="00E03F22" w:rsidP="00E03F22">
      <w:pPr>
        <w:tabs>
          <w:tab w:val="left" w:pos="720"/>
          <w:tab w:val="left" w:pos="1440"/>
          <w:tab w:val="left" w:pos="1800"/>
        </w:tabs>
        <w:rPr>
          <w:szCs w:val="24"/>
        </w:rPr>
      </w:pPr>
    </w:p>
    <w:p w:rsidR="00E03F22" w:rsidRPr="007B3473" w:rsidRDefault="00E03F22" w:rsidP="007B3473">
      <w:pPr>
        <w:pStyle w:val="ListParagraph"/>
        <w:numPr>
          <w:ilvl w:val="0"/>
          <w:numId w:val="32"/>
        </w:numPr>
        <w:tabs>
          <w:tab w:val="left" w:pos="720"/>
          <w:tab w:val="left" w:pos="1440"/>
          <w:tab w:val="left" w:pos="1800"/>
        </w:tabs>
        <w:ind w:hanging="630"/>
        <w:rPr>
          <w:szCs w:val="24"/>
        </w:rPr>
      </w:pPr>
      <w:r w:rsidRPr="007B3473">
        <w:rPr>
          <w:b/>
          <w:szCs w:val="24"/>
        </w:rPr>
        <w:t>Judge of Compensation Claims Jurisdiction</w:t>
      </w:r>
    </w:p>
    <w:p w:rsidR="00E03F22" w:rsidRDefault="00E03F22" w:rsidP="00E03F22">
      <w:pPr>
        <w:tabs>
          <w:tab w:val="left" w:pos="720"/>
          <w:tab w:val="left" w:pos="1440"/>
          <w:tab w:val="left" w:pos="1800"/>
        </w:tabs>
        <w:rPr>
          <w:szCs w:val="24"/>
        </w:rPr>
      </w:pPr>
    </w:p>
    <w:p w:rsidR="00E03F22" w:rsidRPr="007B3473" w:rsidRDefault="00E03F22" w:rsidP="007B3473">
      <w:pPr>
        <w:pStyle w:val="ListParagraph"/>
        <w:numPr>
          <w:ilvl w:val="0"/>
          <w:numId w:val="39"/>
        </w:numPr>
        <w:tabs>
          <w:tab w:val="left" w:pos="720"/>
          <w:tab w:val="left" w:pos="1440"/>
          <w:tab w:val="left" w:pos="1800"/>
        </w:tabs>
        <w:jc w:val="both"/>
        <w:rPr>
          <w:szCs w:val="24"/>
        </w:rPr>
      </w:pPr>
      <w:r w:rsidRPr="003C4B48">
        <w:rPr>
          <w:szCs w:val="24"/>
        </w:rPr>
        <w:t xml:space="preserve">The issue relates to the continued medical need </w:t>
      </w:r>
      <w:r w:rsidR="009D7277">
        <w:rPr>
          <w:szCs w:val="24"/>
        </w:rPr>
        <w:t xml:space="preserve">and causation of </w:t>
      </w:r>
      <w:r w:rsidRPr="003C4B48">
        <w:rPr>
          <w:szCs w:val="24"/>
        </w:rPr>
        <w:t>future medical services including deauthorization of medical care</w:t>
      </w:r>
      <w:r w:rsidRPr="007B3473">
        <w:rPr>
          <w:szCs w:val="24"/>
        </w:rPr>
        <w:t>.</w:t>
      </w:r>
      <w:r w:rsidR="00F91032" w:rsidRPr="007B3473">
        <w:rPr>
          <w:szCs w:val="24"/>
        </w:rPr>
        <w:t xml:space="preserve"> </w:t>
      </w:r>
      <w:r w:rsidR="00F91032" w:rsidRPr="007B3473">
        <w:rPr>
          <w:szCs w:val="24"/>
          <w:u w:val="single"/>
        </w:rPr>
        <w:t>Wolk v. Jaylen Homes, Inc</w:t>
      </w:r>
      <w:r w:rsidR="00F91032" w:rsidRPr="007B3473">
        <w:rPr>
          <w:szCs w:val="24"/>
        </w:rPr>
        <w:t>., 593 So. 2d 1058 (Fla. 1</w:t>
      </w:r>
      <w:r w:rsidR="00F91032" w:rsidRPr="007B3473">
        <w:rPr>
          <w:szCs w:val="24"/>
          <w:vertAlign w:val="superscript"/>
        </w:rPr>
        <w:t>st</w:t>
      </w:r>
      <w:r w:rsidR="00F91032" w:rsidRPr="007B3473">
        <w:rPr>
          <w:szCs w:val="24"/>
        </w:rPr>
        <w:t xml:space="preserve"> DCA 1992); </w:t>
      </w:r>
      <w:r w:rsidR="00F91032" w:rsidRPr="007B3473">
        <w:rPr>
          <w:szCs w:val="24"/>
          <w:u w:val="single"/>
        </w:rPr>
        <w:t>Furtick v. William Shults Contractor</w:t>
      </w:r>
      <w:r w:rsidR="00F91032" w:rsidRPr="007B3473">
        <w:rPr>
          <w:szCs w:val="24"/>
        </w:rPr>
        <w:t xml:space="preserve">, supra; </w:t>
      </w:r>
      <w:r w:rsidR="00F91032" w:rsidRPr="007B3473">
        <w:rPr>
          <w:szCs w:val="24"/>
          <w:u w:val="single"/>
        </w:rPr>
        <w:t>Beasly v. M &amp; E Pieco</w:t>
      </w:r>
      <w:r w:rsidR="00F91032" w:rsidRPr="007B3473">
        <w:rPr>
          <w:szCs w:val="24"/>
        </w:rPr>
        <w:t>, 678 So. 2d 519 (Fla. 1</w:t>
      </w:r>
      <w:r w:rsidR="00F91032" w:rsidRPr="007B3473">
        <w:rPr>
          <w:szCs w:val="24"/>
          <w:vertAlign w:val="superscript"/>
        </w:rPr>
        <w:t>st</w:t>
      </w:r>
      <w:r w:rsidR="00F91032" w:rsidRPr="007B3473">
        <w:rPr>
          <w:szCs w:val="24"/>
        </w:rPr>
        <w:t xml:space="preserve"> DCA 1996).</w:t>
      </w:r>
    </w:p>
    <w:p w:rsidR="00E03F22" w:rsidRDefault="00E03F22" w:rsidP="00E03F22">
      <w:pPr>
        <w:tabs>
          <w:tab w:val="left" w:pos="720"/>
          <w:tab w:val="left" w:pos="1440"/>
          <w:tab w:val="left" w:pos="1800"/>
        </w:tabs>
        <w:rPr>
          <w:szCs w:val="24"/>
        </w:rPr>
      </w:pPr>
      <w:r>
        <w:rPr>
          <w:szCs w:val="24"/>
        </w:rPr>
        <w:tab/>
      </w:r>
      <w:r>
        <w:rPr>
          <w:szCs w:val="24"/>
        </w:rPr>
        <w:tab/>
      </w:r>
      <w:r>
        <w:rPr>
          <w:szCs w:val="24"/>
        </w:rPr>
        <w:tab/>
      </w:r>
      <w:r w:rsidR="00F91032">
        <w:rPr>
          <w:szCs w:val="24"/>
        </w:rPr>
        <w:tab/>
      </w:r>
    </w:p>
    <w:p w:rsidR="00E03F22" w:rsidRPr="007B3473" w:rsidRDefault="00E03F22" w:rsidP="007B3473">
      <w:pPr>
        <w:pStyle w:val="ListParagraph"/>
        <w:numPr>
          <w:ilvl w:val="0"/>
          <w:numId w:val="39"/>
        </w:numPr>
        <w:tabs>
          <w:tab w:val="left" w:pos="720"/>
          <w:tab w:val="left" w:pos="1440"/>
          <w:tab w:val="left" w:pos="1800"/>
        </w:tabs>
        <w:jc w:val="both"/>
        <w:rPr>
          <w:szCs w:val="24"/>
        </w:rPr>
      </w:pPr>
      <w:r w:rsidRPr="003C4B48">
        <w:rPr>
          <w:szCs w:val="24"/>
        </w:rPr>
        <w:t>Claimant seeking recoupment of monies personally expended for medical care or where claimant is responsible for such treatment</w:t>
      </w:r>
      <w:r w:rsidRPr="007B3473">
        <w:rPr>
          <w:szCs w:val="24"/>
        </w:rPr>
        <w:t>.</w:t>
      </w:r>
      <w:r w:rsidR="00DF499C" w:rsidRPr="007B3473">
        <w:rPr>
          <w:szCs w:val="24"/>
        </w:rPr>
        <w:t xml:space="preserve">  </w:t>
      </w:r>
      <w:r w:rsidR="00DF499C" w:rsidRPr="007B3473">
        <w:rPr>
          <w:szCs w:val="24"/>
          <w:u w:val="single"/>
        </w:rPr>
        <w:t>Williams v. Triple J. Enterprises</w:t>
      </w:r>
      <w:r w:rsidR="00DF499C" w:rsidRPr="007B3473">
        <w:rPr>
          <w:szCs w:val="24"/>
        </w:rPr>
        <w:t>, 650 So. 2d 1114 (Fla. 1</w:t>
      </w:r>
      <w:r w:rsidR="00DF499C" w:rsidRPr="007B3473">
        <w:rPr>
          <w:szCs w:val="24"/>
          <w:vertAlign w:val="superscript"/>
        </w:rPr>
        <w:t>st</w:t>
      </w:r>
      <w:r w:rsidR="00DF499C" w:rsidRPr="007B3473">
        <w:rPr>
          <w:szCs w:val="24"/>
        </w:rPr>
        <w:t xml:space="preserve"> DCA 1995).</w:t>
      </w:r>
    </w:p>
    <w:p w:rsidR="00E03F22" w:rsidRDefault="00E03F22" w:rsidP="00E03F22">
      <w:pPr>
        <w:tabs>
          <w:tab w:val="left" w:pos="720"/>
          <w:tab w:val="left" w:pos="1440"/>
          <w:tab w:val="left" w:pos="1800"/>
        </w:tabs>
        <w:rPr>
          <w:szCs w:val="24"/>
        </w:rPr>
      </w:pPr>
      <w:r>
        <w:rPr>
          <w:szCs w:val="24"/>
        </w:rPr>
        <w:tab/>
      </w:r>
      <w:r>
        <w:rPr>
          <w:szCs w:val="24"/>
        </w:rPr>
        <w:tab/>
      </w:r>
      <w:r>
        <w:rPr>
          <w:szCs w:val="24"/>
        </w:rPr>
        <w:tab/>
      </w:r>
    </w:p>
    <w:p w:rsidR="00E03F22" w:rsidRDefault="00E03F22" w:rsidP="007B3473">
      <w:pPr>
        <w:pStyle w:val="ListParagraph"/>
        <w:numPr>
          <w:ilvl w:val="0"/>
          <w:numId w:val="39"/>
        </w:numPr>
        <w:tabs>
          <w:tab w:val="left" w:pos="720"/>
          <w:tab w:val="left" w:pos="1440"/>
          <w:tab w:val="left" w:pos="1800"/>
        </w:tabs>
        <w:rPr>
          <w:szCs w:val="24"/>
        </w:rPr>
      </w:pPr>
      <w:r w:rsidRPr="004308B8">
        <w:rPr>
          <w:szCs w:val="24"/>
        </w:rPr>
        <w:t>Compensability of accident issues</w:t>
      </w:r>
      <w:r>
        <w:rPr>
          <w:szCs w:val="24"/>
        </w:rPr>
        <w:t>.</w:t>
      </w:r>
      <w:r w:rsidR="00DF499C">
        <w:rPr>
          <w:szCs w:val="24"/>
        </w:rPr>
        <w:t xml:space="preserve"> </w:t>
      </w:r>
      <w:r w:rsidR="00DF499C" w:rsidRPr="00DF499C">
        <w:rPr>
          <w:szCs w:val="24"/>
          <w:u w:val="single"/>
        </w:rPr>
        <w:t>Furtick v. William Shults Contractor</w:t>
      </w:r>
      <w:r w:rsidR="00DF499C">
        <w:rPr>
          <w:szCs w:val="24"/>
        </w:rPr>
        <w:t>, supra.</w:t>
      </w:r>
    </w:p>
    <w:p w:rsidR="00E03F22" w:rsidRDefault="00E03F22" w:rsidP="00E03F22">
      <w:pPr>
        <w:tabs>
          <w:tab w:val="left" w:pos="720"/>
          <w:tab w:val="left" w:pos="1440"/>
          <w:tab w:val="left" w:pos="1800"/>
        </w:tabs>
        <w:rPr>
          <w:szCs w:val="24"/>
        </w:rPr>
      </w:pPr>
      <w:r>
        <w:rPr>
          <w:szCs w:val="24"/>
        </w:rPr>
        <w:tab/>
      </w:r>
      <w:r>
        <w:rPr>
          <w:szCs w:val="24"/>
        </w:rPr>
        <w:tab/>
      </w:r>
      <w:r>
        <w:rPr>
          <w:szCs w:val="24"/>
        </w:rPr>
        <w:tab/>
      </w:r>
    </w:p>
    <w:p w:rsidR="00295670" w:rsidRDefault="00E03F22" w:rsidP="007B3473">
      <w:pPr>
        <w:pStyle w:val="ListParagraph"/>
        <w:numPr>
          <w:ilvl w:val="0"/>
          <w:numId w:val="39"/>
        </w:numPr>
        <w:tabs>
          <w:tab w:val="left" w:pos="720"/>
          <w:tab w:val="left" w:pos="1440"/>
          <w:tab w:val="left" w:pos="1800"/>
        </w:tabs>
        <w:rPr>
          <w:szCs w:val="24"/>
        </w:rPr>
      </w:pPr>
      <w:r w:rsidRPr="004308B8">
        <w:rPr>
          <w:szCs w:val="24"/>
        </w:rPr>
        <w:t>Causal Connection issues</w:t>
      </w:r>
      <w:r>
        <w:rPr>
          <w:szCs w:val="24"/>
        </w:rPr>
        <w:t>.</w:t>
      </w:r>
      <w:r w:rsidR="00295670" w:rsidRPr="00295670">
        <w:rPr>
          <w:szCs w:val="24"/>
          <w:u w:val="single"/>
        </w:rPr>
        <w:t xml:space="preserve"> </w:t>
      </w:r>
      <w:r w:rsidR="00295670" w:rsidRPr="00DF499C">
        <w:rPr>
          <w:szCs w:val="24"/>
          <w:u w:val="single"/>
        </w:rPr>
        <w:t>Furtick v. William Shults Contractor</w:t>
      </w:r>
      <w:r w:rsidR="00295670">
        <w:rPr>
          <w:szCs w:val="24"/>
        </w:rPr>
        <w:t>, supra.</w:t>
      </w:r>
    </w:p>
    <w:p w:rsidR="00E03F22" w:rsidRDefault="00E03F22" w:rsidP="00E03F22">
      <w:pPr>
        <w:tabs>
          <w:tab w:val="left" w:pos="720"/>
          <w:tab w:val="left" w:pos="1440"/>
          <w:tab w:val="left" w:pos="1800"/>
        </w:tabs>
        <w:rPr>
          <w:szCs w:val="24"/>
        </w:rPr>
      </w:pPr>
      <w:r>
        <w:rPr>
          <w:szCs w:val="24"/>
        </w:rPr>
        <w:tab/>
      </w:r>
      <w:r>
        <w:rPr>
          <w:szCs w:val="24"/>
        </w:rPr>
        <w:tab/>
      </w:r>
      <w:r>
        <w:rPr>
          <w:szCs w:val="24"/>
        </w:rPr>
        <w:tab/>
      </w:r>
      <w:r w:rsidR="00295670">
        <w:rPr>
          <w:szCs w:val="24"/>
        </w:rPr>
        <w:tab/>
      </w:r>
    </w:p>
    <w:p w:rsidR="00E03F22" w:rsidRDefault="00E03F22" w:rsidP="007B3473">
      <w:pPr>
        <w:pStyle w:val="ListParagraph"/>
        <w:numPr>
          <w:ilvl w:val="0"/>
          <w:numId w:val="39"/>
        </w:numPr>
        <w:tabs>
          <w:tab w:val="left" w:pos="720"/>
          <w:tab w:val="left" w:pos="1440"/>
          <w:tab w:val="left" w:pos="1800"/>
        </w:tabs>
        <w:jc w:val="both"/>
        <w:rPr>
          <w:szCs w:val="24"/>
        </w:rPr>
      </w:pPr>
      <w:r w:rsidRPr="004308B8">
        <w:rPr>
          <w:szCs w:val="24"/>
        </w:rPr>
        <w:t>“Medical Necessity” for the need for further treatment</w:t>
      </w:r>
      <w:r>
        <w:rPr>
          <w:szCs w:val="24"/>
        </w:rPr>
        <w:t>.  See #1 above.</w:t>
      </w:r>
    </w:p>
    <w:p w:rsidR="00E03F22" w:rsidRDefault="00295670" w:rsidP="008B1C93">
      <w:pPr>
        <w:tabs>
          <w:tab w:val="left" w:pos="-1440"/>
        </w:tabs>
        <w:ind w:left="2160" w:hanging="720"/>
        <w:jc w:val="both"/>
        <w:rPr>
          <w:szCs w:val="24"/>
        </w:rPr>
      </w:pPr>
      <w:r>
        <w:rPr>
          <w:szCs w:val="24"/>
        </w:rPr>
        <w:lastRenderedPageBreak/>
        <w:tab/>
      </w:r>
      <w:r>
        <w:t xml:space="preserve">(see also #2 above) - </w:t>
      </w:r>
      <w:r>
        <w:rPr>
          <w:u w:val="single"/>
        </w:rPr>
        <w:t>Tiznado v. Orlando Regional Healthcare System</w:t>
      </w:r>
      <w:r>
        <w:t>, 773 So. 2d 584 (Fla 1</w:t>
      </w:r>
      <w:r>
        <w:rPr>
          <w:vertAlign w:val="superscript"/>
        </w:rPr>
        <w:t>st</w:t>
      </w:r>
      <w:r>
        <w:t xml:space="preserve"> DCA 2000); </w:t>
      </w:r>
      <w:r>
        <w:rPr>
          <w:u w:val="single"/>
        </w:rPr>
        <w:t>Beasley v. M &amp; E Pieco</w:t>
      </w:r>
      <w:r>
        <w:t>, 678 So. 2d 519 (Fla 1</w:t>
      </w:r>
      <w:r>
        <w:rPr>
          <w:vertAlign w:val="superscript"/>
        </w:rPr>
        <w:t>st</w:t>
      </w:r>
      <w:r>
        <w:t xml:space="preserve"> DCA 1996); </w:t>
      </w:r>
      <w:r>
        <w:rPr>
          <w:u w:val="single"/>
        </w:rPr>
        <w:t>School Board of Manatee County v. Chrisman</w:t>
      </w:r>
      <w:r>
        <w:t>, 678 So. 2d 498 (Fla. 1</w:t>
      </w:r>
      <w:r>
        <w:rPr>
          <w:vertAlign w:val="superscript"/>
        </w:rPr>
        <w:t>st</w:t>
      </w:r>
      <w:r>
        <w:t xml:space="preserve"> DCA 1996).</w:t>
      </w:r>
    </w:p>
    <w:p w:rsidR="00FC29ED" w:rsidRDefault="00E03F22" w:rsidP="00E03F22">
      <w:pPr>
        <w:tabs>
          <w:tab w:val="left" w:pos="720"/>
          <w:tab w:val="left" w:pos="1440"/>
          <w:tab w:val="left" w:pos="1800"/>
        </w:tabs>
        <w:rPr>
          <w:szCs w:val="24"/>
        </w:rPr>
      </w:pPr>
      <w:r>
        <w:rPr>
          <w:szCs w:val="24"/>
        </w:rPr>
        <w:tab/>
      </w:r>
      <w:r>
        <w:rPr>
          <w:szCs w:val="24"/>
        </w:rPr>
        <w:tab/>
      </w:r>
      <w:r>
        <w:rPr>
          <w:szCs w:val="24"/>
        </w:rPr>
        <w:tab/>
      </w:r>
    </w:p>
    <w:p w:rsidR="00FC29ED" w:rsidRDefault="00FC29ED" w:rsidP="007B3473">
      <w:pPr>
        <w:pStyle w:val="ListParagraph"/>
        <w:numPr>
          <w:ilvl w:val="0"/>
          <w:numId w:val="39"/>
        </w:numPr>
        <w:tabs>
          <w:tab w:val="left" w:pos="720"/>
          <w:tab w:val="left" w:pos="1440"/>
          <w:tab w:val="left" w:pos="1800"/>
        </w:tabs>
        <w:rPr>
          <w:szCs w:val="24"/>
        </w:rPr>
      </w:pPr>
      <w:r w:rsidRPr="004308B8">
        <w:rPr>
          <w:szCs w:val="24"/>
        </w:rPr>
        <w:t>Diagnosis issue</w:t>
      </w:r>
      <w:r w:rsidR="004308B8" w:rsidRPr="004308B8">
        <w:rPr>
          <w:szCs w:val="24"/>
        </w:rPr>
        <w:t>s</w:t>
      </w:r>
      <w:r>
        <w:rPr>
          <w:szCs w:val="24"/>
        </w:rPr>
        <w:t xml:space="preserve"> – </w:t>
      </w:r>
      <w:r w:rsidRPr="00FC29ED">
        <w:rPr>
          <w:i/>
          <w:szCs w:val="24"/>
        </w:rPr>
        <w:t>Furtick v. William Shu</w:t>
      </w:r>
      <w:r w:rsidR="00F91032">
        <w:rPr>
          <w:i/>
          <w:szCs w:val="24"/>
        </w:rPr>
        <w:t>l</w:t>
      </w:r>
      <w:r w:rsidRPr="00FC29ED">
        <w:rPr>
          <w:i/>
          <w:szCs w:val="24"/>
        </w:rPr>
        <w:t>ts Contractor</w:t>
      </w:r>
      <w:r>
        <w:rPr>
          <w:szCs w:val="24"/>
        </w:rPr>
        <w:t>, supra.</w:t>
      </w:r>
    </w:p>
    <w:p w:rsidR="00FC29ED" w:rsidRPr="00FC29ED" w:rsidRDefault="00FC29ED" w:rsidP="00FC29ED">
      <w:pPr>
        <w:tabs>
          <w:tab w:val="left" w:pos="720"/>
          <w:tab w:val="left" w:pos="1440"/>
          <w:tab w:val="left" w:pos="1800"/>
        </w:tabs>
        <w:rPr>
          <w:szCs w:val="24"/>
        </w:rPr>
      </w:pPr>
    </w:p>
    <w:p w:rsidR="00295670" w:rsidRDefault="00FC29ED" w:rsidP="007B3473">
      <w:pPr>
        <w:pStyle w:val="ListParagraph"/>
        <w:numPr>
          <w:ilvl w:val="0"/>
          <w:numId w:val="39"/>
        </w:numPr>
        <w:tabs>
          <w:tab w:val="left" w:pos="720"/>
          <w:tab w:val="left" w:pos="1440"/>
          <w:tab w:val="left" w:pos="1800"/>
        </w:tabs>
        <w:jc w:val="both"/>
      </w:pPr>
      <w:r w:rsidRPr="004308B8">
        <w:rPr>
          <w:szCs w:val="24"/>
        </w:rPr>
        <w:t>Medical status of claimant issues</w:t>
      </w:r>
      <w:r w:rsidRPr="00295670">
        <w:rPr>
          <w:szCs w:val="24"/>
        </w:rPr>
        <w:t>.</w:t>
      </w:r>
      <w:r w:rsidR="00295670" w:rsidRPr="00295670">
        <w:rPr>
          <w:szCs w:val="24"/>
        </w:rPr>
        <w:t xml:space="preserve"> </w:t>
      </w:r>
      <w:r w:rsidR="00295670" w:rsidRPr="00295670">
        <w:rPr>
          <w:u w:val="single"/>
        </w:rPr>
        <w:t>Carswell v. Broderick Construction</w:t>
      </w:r>
      <w:r w:rsidR="00295670">
        <w:t>, 583 So. 2d 803 (Fla. 1</w:t>
      </w:r>
      <w:r w:rsidR="00295670" w:rsidRPr="00295670">
        <w:rPr>
          <w:vertAlign w:val="superscript"/>
        </w:rPr>
        <w:t>st</w:t>
      </w:r>
      <w:r w:rsidR="00295670">
        <w:t xml:space="preserve"> DCA 1991); </w:t>
      </w:r>
      <w:r w:rsidR="00295670" w:rsidRPr="00295670">
        <w:rPr>
          <w:u w:val="single"/>
        </w:rPr>
        <w:t>Furtick v. William Shults Contractor</w:t>
      </w:r>
      <w:r w:rsidR="00B54894">
        <w:t>, s</w:t>
      </w:r>
      <w:r w:rsidR="00295670">
        <w:t>upra.</w:t>
      </w:r>
    </w:p>
    <w:p w:rsidR="00FC29ED" w:rsidRDefault="00FC29ED" w:rsidP="00FC29ED">
      <w:pPr>
        <w:pStyle w:val="ListParagraph"/>
        <w:tabs>
          <w:tab w:val="left" w:pos="720"/>
          <w:tab w:val="left" w:pos="1440"/>
          <w:tab w:val="left" w:pos="1800"/>
        </w:tabs>
        <w:ind w:left="2160" w:hanging="450"/>
        <w:rPr>
          <w:szCs w:val="24"/>
        </w:rPr>
      </w:pPr>
    </w:p>
    <w:p w:rsidR="00B54894" w:rsidRDefault="00FC29ED" w:rsidP="004A637C">
      <w:pPr>
        <w:pStyle w:val="ListParagraph"/>
        <w:numPr>
          <w:ilvl w:val="0"/>
          <w:numId w:val="39"/>
        </w:numPr>
        <w:tabs>
          <w:tab w:val="left" w:pos="-1440"/>
          <w:tab w:val="left" w:pos="720"/>
          <w:tab w:val="left" w:pos="1440"/>
          <w:tab w:val="left" w:pos="1800"/>
        </w:tabs>
        <w:jc w:val="both"/>
      </w:pPr>
      <w:r w:rsidRPr="009D7277">
        <w:rPr>
          <w:szCs w:val="24"/>
        </w:rPr>
        <w:t xml:space="preserve">Failure of Employer/Carrier to follow Utilization Review </w:t>
      </w:r>
      <w:r w:rsidR="009D7277" w:rsidRPr="009D7277">
        <w:rPr>
          <w:szCs w:val="24"/>
        </w:rPr>
        <w:t xml:space="preserve">(UR) </w:t>
      </w:r>
      <w:r w:rsidRPr="009D7277">
        <w:rPr>
          <w:szCs w:val="24"/>
        </w:rPr>
        <w:t>procedures.</w:t>
      </w:r>
      <w:r w:rsidR="009D7277" w:rsidRPr="009D7277">
        <w:rPr>
          <w:szCs w:val="24"/>
        </w:rPr>
        <w:t xml:space="preserve">  </w:t>
      </w:r>
      <w:r w:rsidR="00B54894" w:rsidRPr="009D7277">
        <w:rPr>
          <w:u w:val="single"/>
        </w:rPr>
        <w:t>Wolk v. Jaylen Homes, Inc.</w:t>
      </w:r>
      <w:r w:rsidR="00B54894">
        <w:t>, 593 So. 2d 1058(Fla. 1</w:t>
      </w:r>
      <w:r w:rsidR="00B54894" w:rsidRPr="009D7277">
        <w:rPr>
          <w:vertAlign w:val="superscript"/>
        </w:rPr>
        <w:t>st</w:t>
      </w:r>
      <w:r w:rsidR="00B54894">
        <w:t xml:space="preserve"> DCA 1992).</w:t>
      </w:r>
      <w:r w:rsidR="009D7277">
        <w:t xml:space="preserve">  However, if the carrier has followed UR procedures, disallowance of payment and overutilization proceeding falls within Division’s exclusive jurisdiction.</w:t>
      </w:r>
    </w:p>
    <w:p w:rsidR="007B3473" w:rsidRDefault="00FC29ED" w:rsidP="006C11DC">
      <w:pPr>
        <w:tabs>
          <w:tab w:val="left" w:pos="720"/>
          <w:tab w:val="left" w:pos="1440"/>
          <w:tab w:val="left" w:pos="1620"/>
          <w:tab w:val="left" w:pos="1800"/>
        </w:tabs>
        <w:rPr>
          <w:szCs w:val="24"/>
        </w:rPr>
      </w:pPr>
      <w:r>
        <w:rPr>
          <w:szCs w:val="24"/>
        </w:rPr>
        <w:tab/>
      </w:r>
    </w:p>
    <w:p w:rsidR="004A637C" w:rsidRDefault="004A637C" w:rsidP="004A637C">
      <w:pPr>
        <w:pStyle w:val="ListParagraph"/>
        <w:numPr>
          <w:ilvl w:val="0"/>
          <w:numId w:val="32"/>
        </w:numPr>
        <w:tabs>
          <w:tab w:val="left" w:pos="720"/>
          <w:tab w:val="left" w:pos="1440"/>
          <w:tab w:val="left" w:pos="1620"/>
          <w:tab w:val="left" w:pos="1800"/>
        </w:tabs>
        <w:rPr>
          <w:szCs w:val="24"/>
        </w:rPr>
      </w:pPr>
      <w:r w:rsidRPr="004A637C">
        <w:rPr>
          <w:b/>
          <w:szCs w:val="24"/>
        </w:rPr>
        <w:t>Outlier Cases</w:t>
      </w:r>
      <w:r>
        <w:rPr>
          <w:szCs w:val="24"/>
        </w:rPr>
        <w:t xml:space="preserve">- There are a number of outlier cases which arise, typically because a claimant files a Petition asking the JCC to “order authorization and payment” in a certain amount to a specific provider.  </w:t>
      </w:r>
    </w:p>
    <w:p w:rsidR="004A637C" w:rsidRDefault="004A637C" w:rsidP="004A637C">
      <w:pPr>
        <w:pStyle w:val="ListParagraph"/>
        <w:tabs>
          <w:tab w:val="left" w:pos="720"/>
          <w:tab w:val="left" w:pos="1440"/>
          <w:tab w:val="left" w:pos="1620"/>
          <w:tab w:val="left" w:pos="1800"/>
        </w:tabs>
        <w:ind w:left="2070"/>
        <w:rPr>
          <w:b/>
          <w:szCs w:val="24"/>
        </w:rPr>
      </w:pPr>
    </w:p>
    <w:p w:rsidR="004A637C" w:rsidRDefault="004A637C" w:rsidP="004A637C">
      <w:pPr>
        <w:pStyle w:val="ListParagraph"/>
        <w:numPr>
          <w:ilvl w:val="0"/>
          <w:numId w:val="41"/>
        </w:numPr>
        <w:tabs>
          <w:tab w:val="left" w:pos="720"/>
          <w:tab w:val="left" w:pos="1440"/>
          <w:tab w:val="left" w:pos="1620"/>
          <w:tab w:val="left" w:pos="1800"/>
        </w:tabs>
        <w:rPr>
          <w:szCs w:val="24"/>
        </w:rPr>
      </w:pPr>
      <w:r>
        <w:rPr>
          <w:szCs w:val="24"/>
        </w:rPr>
        <w:t>If the carrier has not authorized treatment, the JCC can review whether authorization should be ordered, but the underlying payment amount remains within the exclusive jurisdiction of the Division pursuant to s.440.13(7), Fla. Stat.</w:t>
      </w:r>
    </w:p>
    <w:p w:rsidR="004A637C" w:rsidRDefault="004A637C" w:rsidP="004A637C">
      <w:pPr>
        <w:pStyle w:val="ListParagraph"/>
        <w:tabs>
          <w:tab w:val="left" w:pos="720"/>
          <w:tab w:val="left" w:pos="1440"/>
          <w:tab w:val="left" w:pos="1620"/>
          <w:tab w:val="left" w:pos="1800"/>
        </w:tabs>
        <w:ind w:left="2430"/>
        <w:rPr>
          <w:szCs w:val="24"/>
        </w:rPr>
      </w:pPr>
    </w:p>
    <w:p w:rsidR="004A637C" w:rsidRDefault="004A637C" w:rsidP="004A637C">
      <w:pPr>
        <w:pStyle w:val="ListParagraph"/>
        <w:numPr>
          <w:ilvl w:val="0"/>
          <w:numId w:val="41"/>
        </w:numPr>
        <w:tabs>
          <w:tab w:val="left" w:pos="720"/>
          <w:tab w:val="left" w:pos="1440"/>
          <w:tab w:val="left" w:pos="1620"/>
          <w:tab w:val="left" w:pos="1800"/>
        </w:tabs>
        <w:rPr>
          <w:szCs w:val="24"/>
        </w:rPr>
      </w:pPr>
      <w:r>
        <w:rPr>
          <w:szCs w:val="24"/>
        </w:rPr>
        <w:t>If a provider ‘balance bills’ the claimant, but the carrier timely authorizes the treatment, the JCC does not have jurisdiction.  If, for example, a hospital or radiology facility provided emergency treatment, or if a provider did not know that the service was for a compensable workers’ compensation claim, the provider should be notified that the claim is compensable, the treatment is authorized, and the where the bills should be sent for administrative review and adjustment pursuant to Rule 69L-7.730, FAC.  The Provider may not balance bill the injured worker for compensable (and non-apportioned), authorized treatment.</w:t>
      </w:r>
    </w:p>
    <w:p w:rsidR="007C0155" w:rsidRPr="007C0155" w:rsidRDefault="007C0155" w:rsidP="007C0155">
      <w:pPr>
        <w:pStyle w:val="ListParagraph"/>
        <w:rPr>
          <w:szCs w:val="24"/>
        </w:rPr>
      </w:pPr>
    </w:p>
    <w:p w:rsidR="007C0155" w:rsidRPr="004A637C" w:rsidRDefault="007C0155" w:rsidP="004A637C">
      <w:pPr>
        <w:pStyle w:val="ListParagraph"/>
        <w:numPr>
          <w:ilvl w:val="0"/>
          <w:numId w:val="41"/>
        </w:numPr>
        <w:tabs>
          <w:tab w:val="left" w:pos="720"/>
          <w:tab w:val="left" w:pos="1440"/>
          <w:tab w:val="left" w:pos="1620"/>
          <w:tab w:val="left" w:pos="1800"/>
        </w:tabs>
        <w:rPr>
          <w:szCs w:val="24"/>
        </w:rPr>
      </w:pPr>
      <w:r>
        <w:rPr>
          <w:szCs w:val="24"/>
        </w:rPr>
        <w:t xml:space="preserve">If a provider continues to balance bill an injured worker for authorized, compensable care, the provider may be referred to the Division for Provider violations under 69L-34, FAC.  Additionally, the Florida Supreme Court recently held that a provider who knowingly violates the s.440.13(3)(f), Fla. Stat. by billing the injured worker for a </w:t>
      </w:r>
      <w:r>
        <w:rPr>
          <w:szCs w:val="24"/>
        </w:rPr>
        <w:lastRenderedPageBreak/>
        <w:t xml:space="preserve">compensable, authorized service, may be liable to the injured worker for civil damages and attorney’s fees under the </w:t>
      </w:r>
      <w:r w:rsidRPr="004B7BC8">
        <w:rPr>
          <w:b/>
          <w:szCs w:val="24"/>
        </w:rPr>
        <w:t>Florida Consumer Collection Practices Act (FCCPA)</w:t>
      </w:r>
      <w:r>
        <w:rPr>
          <w:szCs w:val="24"/>
        </w:rPr>
        <w:t xml:space="preserve">.  </w:t>
      </w:r>
      <w:r w:rsidRPr="007C0155">
        <w:rPr>
          <w:szCs w:val="24"/>
          <w:u w:val="single"/>
        </w:rPr>
        <w:t>See, Laboratory Corporation of America, et al. v. Davis</w:t>
      </w:r>
      <w:r>
        <w:rPr>
          <w:szCs w:val="24"/>
        </w:rPr>
        <w:t>, S.Ct. Case No: 19-1936 (May 26, 2022).</w:t>
      </w:r>
    </w:p>
    <w:p w:rsidR="004A637C" w:rsidRDefault="004A637C" w:rsidP="004A637C">
      <w:pPr>
        <w:pStyle w:val="ListParagraph"/>
        <w:tabs>
          <w:tab w:val="left" w:pos="720"/>
          <w:tab w:val="left" w:pos="1440"/>
          <w:tab w:val="left" w:pos="1620"/>
          <w:tab w:val="left" w:pos="1800"/>
        </w:tabs>
        <w:ind w:left="2070"/>
        <w:rPr>
          <w:szCs w:val="24"/>
        </w:rPr>
      </w:pPr>
    </w:p>
    <w:p w:rsidR="004B7BC8" w:rsidRPr="004A637C" w:rsidRDefault="004B7BC8" w:rsidP="004A637C">
      <w:pPr>
        <w:pStyle w:val="ListParagraph"/>
        <w:tabs>
          <w:tab w:val="left" w:pos="720"/>
          <w:tab w:val="left" w:pos="1440"/>
          <w:tab w:val="left" w:pos="1620"/>
          <w:tab w:val="left" w:pos="1800"/>
        </w:tabs>
        <w:ind w:left="2070"/>
        <w:rPr>
          <w:szCs w:val="24"/>
        </w:rPr>
      </w:pPr>
    </w:p>
    <w:p w:rsidR="00D5404E" w:rsidRPr="003E4F8D" w:rsidRDefault="00D5404E" w:rsidP="00D5404E">
      <w:pPr>
        <w:pStyle w:val="ListParagraph"/>
        <w:numPr>
          <w:ilvl w:val="0"/>
          <w:numId w:val="23"/>
        </w:numPr>
        <w:tabs>
          <w:tab w:val="left" w:pos="720"/>
          <w:tab w:val="left" w:pos="1440"/>
          <w:tab w:val="left" w:pos="1800"/>
        </w:tabs>
        <w:rPr>
          <w:b/>
          <w:szCs w:val="24"/>
        </w:rPr>
      </w:pPr>
      <w:r>
        <w:rPr>
          <w:b/>
          <w:szCs w:val="24"/>
          <w:u w:val="single"/>
        </w:rPr>
        <w:t>Utilization of Medical Treatment (Overutilization of Medical Care)</w:t>
      </w:r>
    </w:p>
    <w:p w:rsidR="00D5404E" w:rsidRDefault="00D5404E" w:rsidP="00D5404E">
      <w:pPr>
        <w:tabs>
          <w:tab w:val="left" w:pos="720"/>
          <w:tab w:val="left" w:pos="1440"/>
          <w:tab w:val="left" w:pos="1800"/>
        </w:tabs>
        <w:rPr>
          <w:b/>
          <w:szCs w:val="24"/>
        </w:rPr>
      </w:pPr>
    </w:p>
    <w:p w:rsidR="00826C75" w:rsidRDefault="00D5404E" w:rsidP="00D5404E">
      <w:pPr>
        <w:pStyle w:val="ListParagraph"/>
        <w:numPr>
          <w:ilvl w:val="0"/>
          <w:numId w:val="29"/>
        </w:numPr>
        <w:tabs>
          <w:tab w:val="left" w:pos="720"/>
          <w:tab w:val="left" w:pos="1440"/>
          <w:tab w:val="left" w:pos="1800"/>
        </w:tabs>
        <w:jc w:val="both"/>
        <w:rPr>
          <w:szCs w:val="24"/>
        </w:rPr>
      </w:pPr>
      <w:r>
        <w:rPr>
          <w:szCs w:val="24"/>
        </w:rPr>
        <w:t>§440.13(2), F.S., requires carriers to have in place a system of utilization control to review all proposed care plans. This plan should be in writing.  As a part of the Division’s audit process, a determination as to whether such exists and if not, penalties/fines will be assessed</w:t>
      </w:r>
      <w:r w:rsidR="00826C75">
        <w:rPr>
          <w:szCs w:val="24"/>
        </w:rPr>
        <w:t xml:space="preserve">. </w:t>
      </w:r>
    </w:p>
    <w:p w:rsidR="006C11DC" w:rsidRDefault="006C11DC" w:rsidP="006C11DC">
      <w:pPr>
        <w:pStyle w:val="ListParagraph"/>
        <w:tabs>
          <w:tab w:val="left" w:pos="720"/>
          <w:tab w:val="left" w:pos="1440"/>
          <w:tab w:val="left" w:pos="1800"/>
        </w:tabs>
        <w:ind w:left="1800"/>
        <w:jc w:val="both"/>
        <w:rPr>
          <w:szCs w:val="24"/>
        </w:rPr>
      </w:pPr>
    </w:p>
    <w:p w:rsidR="00D5404E" w:rsidRDefault="00D5404E" w:rsidP="00D5404E">
      <w:pPr>
        <w:pStyle w:val="ListParagraph"/>
        <w:numPr>
          <w:ilvl w:val="0"/>
          <w:numId w:val="29"/>
        </w:numPr>
        <w:tabs>
          <w:tab w:val="left" w:pos="720"/>
          <w:tab w:val="left" w:pos="1440"/>
          <w:tab w:val="left" w:pos="1800"/>
        </w:tabs>
        <w:jc w:val="both"/>
        <w:rPr>
          <w:szCs w:val="24"/>
        </w:rPr>
      </w:pPr>
      <w:r>
        <w:rPr>
          <w:szCs w:val="24"/>
        </w:rPr>
        <w:t xml:space="preserve">The </w:t>
      </w:r>
      <w:r w:rsidR="00826C75">
        <w:rPr>
          <w:szCs w:val="24"/>
        </w:rPr>
        <w:t>employer/carrier</w:t>
      </w:r>
      <w:r>
        <w:rPr>
          <w:szCs w:val="24"/>
        </w:rPr>
        <w:t xml:space="preserve"> must accept any proposed course of treatment</w:t>
      </w:r>
      <w:r w:rsidR="00826C75">
        <w:rPr>
          <w:szCs w:val="24"/>
        </w:rPr>
        <w:t xml:space="preserve"> as recommended by the authorized doctor unless notification is given to the authorized physician</w:t>
      </w:r>
      <w:r>
        <w:rPr>
          <w:szCs w:val="24"/>
        </w:rPr>
        <w:t xml:space="preserve"> of its specific objections to the proposed course of treatment by the close of the 10</w:t>
      </w:r>
      <w:r w:rsidRPr="00165101">
        <w:rPr>
          <w:szCs w:val="24"/>
          <w:vertAlign w:val="superscript"/>
        </w:rPr>
        <w:t>th</w:t>
      </w:r>
      <w:r>
        <w:rPr>
          <w:szCs w:val="24"/>
        </w:rPr>
        <w:t xml:space="preserve"> business day after notification by the physician or a supervised designee of the physician, of the proposed course of treatment.</w:t>
      </w:r>
    </w:p>
    <w:p w:rsidR="006C11DC" w:rsidRPr="006C11DC" w:rsidRDefault="006C11DC" w:rsidP="006C11DC">
      <w:pPr>
        <w:pStyle w:val="ListParagraph"/>
        <w:rPr>
          <w:szCs w:val="24"/>
        </w:rPr>
      </w:pPr>
    </w:p>
    <w:p w:rsidR="00D5404E" w:rsidRDefault="00D5404E" w:rsidP="00D5404E">
      <w:pPr>
        <w:pStyle w:val="ListParagraph"/>
        <w:numPr>
          <w:ilvl w:val="0"/>
          <w:numId w:val="29"/>
        </w:numPr>
        <w:tabs>
          <w:tab w:val="left" w:pos="720"/>
          <w:tab w:val="left" w:pos="1440"/>
          <w:tab w:val="left" w:pos="1800"/>
        </w:tabs>
        <w:jc w:val="both"/>
        <w:rPr>
          <w:szCs w:val="24"/>
        </w:rPr>
      </w:pPr>
      <w:r>
        <w:rPr>
          <w:szCs w:val="24"/>
        </w:rPr>
        <w:t>Evaluation of proposed treatment plans to resolve questions about medical necessity, therapeutic alternatives, side effects and causal relationship to the original injury include</w:t>
      </w:r>
      <w:r w:rsidR="00826C75">
        <w:rPr>
          <w:szCs w:val="24"/>
        </w:rPr>
        <w:t xml:space="preserve"> (see definition of Utilization Review, §440.13(1)(s), F.S.)</w:t>
      </w:r>
      <w:r>
        <w:rPr>
          <w:szCs w:val="24"/>
        </w:rPr>
        <w:t>:</w:t>
      </w:r>
    </w:p>
    <w:p w:rsidR="00D5404E" w:rsidRDefault="00D5404E" w:rsidP="00D5404E">
      <w:pPr>
        <w:pStyle w:val="ListParagraph"/>
        <w:numPr>
          <w:ilvl w:val="0"/>
          <w:numId w:val="30"/>
        </w:numPr>
        <w:tabs>
          <w:tab w:val="left" w:pos="720"/>
          <w:tab w:val="left" w:pos="1440"/>
          <w:tab w:val="left" w:pos="1800"/>
        </w:tabs>
        <w:rPr>
          <w:szCs w:val="24"/>
        </w:rPr>
      </w:pPr>
      <w:r>
        <w:rPr>
          <w:szCs w:val="24"/>
        </w:rPr>
        <w:t>Peer Review</w:t>
      </w:r>
    </w:p>
    <w:p w:rsidR="00D5404E" w:rsidRDefault="00D5404E" w:rsidP="00D5404E">
      <w:pPr>
        <w:pStyle w:val="ListParagraph"/>
        <w:numPr>
          <w:ilvl w:val="0"/>
          <w:numId w:val="30"/>
        </w:numPr>
        <w:tabs>
          <w:tab w:val="left" w:pos="720"/>
          <w:tab w:val="left" w:pos="1440"/>
          <w:tab w:val="left" w:pos="1800"/>
        </w:tabs>
        <w:rPr>
          <w:szCs w:val="24"/>
        </w:rPr>
      </w:pPr>
      <w:r>
        <w:rPr>
          <w:szCs w:val="24"/>
        </w:rPr>
        <w:t>Physician Review by carrier’s medical director</w:t>
      </w:r>
    </w:p>
    <w:p w:rsidR="00D4496C" w:rsidRDefault="00D5404E" w:rsidP="00D4496C">
      <w:pPr>
        <w:pStyle w:val="ListParagraph"/>
        <w:numPr>
          <w:ilvl w:val="0"/>
          <w:numId w:val="30"/>
        </w:numPr>
        <w:tabs>
          <w:tab w:val="left" w:pos="720"/>
          <w:tab w:val="left" w:pos="1440"/>
          <w:tab w:val="left" w:pos="1800"/>
        </w:tabs>
        <w:rPr>
          <w:szCs w:val="24"/>
        </w:rPr>
      </w:pPr>
      <w:r>
        <w:rPr>
          <w:szCs w:val="24"/>
        </w:rPr>
        <w:t>IME</w:t>
      </w:r>
    </w:p>
    <w:p w:rsidR="006C11DC" w:rsidRDefault="006C11DC" w:rsidP="006C11DC">
      <w:pPr>
        <w:pStyle w:val="ListParagraph"/>
        <w:tabs>
          <w:tab w:val="left" w:pos="720"/>
          <w:tab w:val="left" w:pos="1440"/>
          <w:tab w:val="left" w:pos="1800"/>
        </w:tabs>
        <w:ind w:left="2160"/>
        <w:rPr>
          <w:szCs w:val="24"/>
        </w:rPr>
      </w:pPr>
    </w:p>
    <w:p w:rsidR="005457FF" w:rsidRPr="005457FF" w:rsidRDefault="005457FF" w:rsidP="00D4496C">
      <w:pPr>
        <w:pStyle w:val="ListParagraph"/>
        <w:numPr>
          <w:ilvl w:val="0"/>
          <w:numId w:val="29"/>
        </w:numPr>
        <w:tabs>
          <w:tab w:val="left" w:pos="720"/>
          <w:tab w:val="left" w:pos="1440"/>
          <w:tab w:val="left" w:pos="1800"/>
        </w:tabs>
        <w:rPr>
          <w:szCs w:val="24"/>
        </w:rPr>
      </w:pPr>
      <w:r w:rsidRPr="005457FF">
        <w:rPr>
          <w:szCs w:val="24"/>
        </w:rPr>
        <w:t>Dispute Resolutions Over Jurisdiction Concerning Overutilization</w:t>
      </w:r>
    </w:p>
    <w:p w:rsidR="005457FF" w:rsidRPr="007B3473" w:rsidRDefault="005457FF" w:rsidP="005457FF">
      <w:pPr>
        <w:pStyle w:val="ListParagraph"/>
        <w:numPr>
          <w:ilvl w:val="0"/>
          <w:numId w:val="40"/>
        </w:numPr>
        <w:tabs>
          <w:tab w:val="left" w:pos="720"/>
          <w:tab w:val="left" w:pos="1440"/>
          <w:tab w:val="left" w:pos="1620"/>
          <w:tab w:val="left" w:pos="1800"/>
        </w:tabs>
        <w:rPr>
          <w:szCs w:val="24"/>
        </w:rPr>
      </w:pPr>
      <w:r w:rsidRPr="007B3473">
        <w:rPr>
          <w:szCs w:val="24"/>
        </w:rPr>
        <w:t>Referral of provider for pattern or practice of overutilization/audit §440.13(8)</w:t>
      </w:r>
      <w:r w:rsidR="00F41A93">
        <w:rPr>
          <w:szCs w:val="24"/>
        </w:rPr>
        <w:t xml:space="preserve"> &amp; </w:t>
      </w:r>
      <w:r w:rsidRPr="007B3473">
        <w:rPr>
          <w:szCs w:val="24"/>
        </w:rPr>
        <w:t>(11), F.S.</w:t>
      </w:r>
    </w:p>
    <w:p w:rsidR="005457FF" w:rsidRPr="007B3473" w:rsidRDefault="005457FF" w:rsidP="005457FF">
      <w:pPr>
        <w:pStyle w:val="ListParagraph"/>
        <w:numPr>
          <w:ilvl w:val="0"/>
          <w:numId w:val="40"/>
        </w:numPr>
        <w:tabs>
          <w:tab w:val="left" w:pos="720"/>
          <w:tab w:val="left" w:pos="1440"/>
          <w:tab w:val="left" w:pos="1620"/>
          <w:tab w:val="left" w:pos="1800"/>
        </w:tabs>
        <w:rPr>
          <w:szCs w:val="24"/>
        </w:rPr>
      </w:pPr>
      <w:r w:rsidRPr="007B3473">
        <w:rPr>
          <w:szCs w:val="24"/>
        </w:rPr>
        <w:t xml:space="preserve">Writ of Mandamus does not apply requiring Division to review. §440.08(8)(b), F.S. </w:t>
      </w:r>
      <w:r w:rsidRPr="007B3473">
        <w:rPr>
          <w:i/>
          <w:szCs w:val="24"/>
        </w:rPr>
        <w:t>City of Hollywood v. Benoit</w:t>
      </w:r>
      <w:r w:rsidRPr="007B3473">
        <w:rPr>
          <w:szCs w:val="24"/>
        </w:rPr>
        <w:t>, supra.</w:t>
      </w:r>
    </w:p>
    <w:p w:rsidR="005457FF" w:rsidRDefault="005457FF" w:rsidP="005457FF">
      <w:pPr>
        <w:pStyle w:val="ListParagraph"/>
        <w:numPr>
          <w:ilvl w:val="0"/>
          <w:numId w:val="40"/>
        </w:numPr>
        <w:jc w:val="both"/>
        <w:rPr>
          <w:szCs w:val="24"/>
        </w:rPr>
      </w:pPr>
      <w:r>
        <w:rPr>
          <w:szCs w:val="24"/>
        </w:rPr>
        <w:t>Return of past payments or if provider does not refund overutilized payments once ordered within 30 days, assessment of penalties. §440.08(8)(b), F.S.</w:t>
      </w:r>
    </w:p>
    <w:p w:rsidR="005457FF" w:rsidRDefault="005457FF" w:rsidP="005457FF">
      <w:pPr>
        <w:pStyle w:val="ListParagraph"/>
        <w:numPr>
          <w:ilvl w:val="0"/>
          <w:numId w:val="40"/>
        </w:numPr>
        <w:jc w:val="both"/>
        <w:rPr>
          <w:szCs w:val="24"/>
        </w:rPr>
      </w:pPr>
      <w:r>
        <w:rPr>
          <w:szCs w:val="24"/>
        </w:rPr>
        <w:t xml:space="preserve">JCC continues to play a role in utilization disputes even though no Petition for Benefits has been filed.  </w:t>
      </w:r>
      <w:r w:rsidRPr="00CC5A44">
        <w:rPr>
          <w:i/>
          <w:szCs w:val="24"/>
        </w:rPr>
        <w:t>Delgado v. J.C. Concrete</w:t>
      </w:r>
      <w:r>
        <w:rPr>
          <w:szCs w:val="24"/>
        </w:rPr>
        <w:t>, 72 So. 2d 353 (Fla. 1</w:t>
      </w:r>
      <w:r w:rsidRPr="00CC5A44">
        <w:rPr>
          <w:szCs w:val="24"/>
          <w:vertAlign w:val="superscript"/>
        </w:rPr>
        <w:t>st</w:t>
      </w:r>
      <w:r>
        <w:rPr>
          <w:szCs w:val="24"/>
        </w:rPr>
        <w:t xml:space="preserve"> DCA 1998).</w:t>
      </w:r>
      <w:r w:rsidR="00D4496C">
        <w:rPr>
          <w:szCs w:val="24"/>
        </w:rPr>
        <w:t xml:space="preserve"> For example, the JCC can require the claimant to:</w:t>
      </w:r>
    </w:p>
    <w:p w:rsidR="005457FF" w:rsidRPr="007B3473" w:rsidRDefault="005457FF" w:rsidP="005457FF">
      <w:pPr>
        <w:pStyle w:val="ListParagraph"/>
        <w:numPr>
          <w:ilvl w:val="0"/>
          <w:numId w:val="35"/>
        </w:numPr>
        <w:rPr>
          <w:szCs w:val="24"/>
        </w:rPr>
      </w:pPr>
      <w:r w:rsidRPr="007B3473">
        <w:rPr>
          <w:szCs w:val="24"/>
        </w:rPr>
        <w:t>Compel</w:t>
      </w:r>
      <w:r w:rsidR="004A637C">
        <w:rPr>
          <w:szCs w:val="24"/>
        </w:rPr>
        <w:t>/Attend</w:t>
      </w:r>
      <w:r w:rsidRPr="007B3473">
        <w:rPr>
          <w:szCs w:val="24"/>
        </w:rPr>
        <w:t xml:space="preserve"> IME - §440.13(5)(a), F.S.</w:t>
      </w:r>
    </w:p>
    <w:p w:rsidR="005457FF" w:rsidRDefault="005457FF" w:rsidP="005457FF">
      <w:pPr>
        <w:pStyle w:val="ListParagraph"/>
        <w:numPr>
          <w:ilvl w:val="0"/>
          <w:numId w:val="35"/>
        </w:numPr>
        <w:rPr>
          <w:szCs w:val="24"/>
        </w:rPr>
      </w:pPr>
      <w:r>
        <w:rPr>
          <w:szCs w:val="24"/>
        </w:rPr>
        <w:t>Require claimant to pay 50% of physician’s cancellation fee</w:t>
      </w:r>
      <w:r w:rsidR="004A637C">
        <w:rPr>
          <w:szCs w:val="24"/>
        </w:rPr>
        <w:t xml:space="preserve"> for IME No-Show</w:t>
      </w:r>
      <w:r>
        <w:rPr>
          <w:szCs w:val="24"/>
        </w:rPr>
        <w:t>. §440.13(5)d), F.S.</w:t>
      </w:r>
    </w:p>
    <w:p w:rsidR="006C11DC" w:rsidRDefault="006C11DC" w:rsidP="006C11DC">
      <w:pPr>
        <w:pStyle w:val="ListParagraph"/>
        <w:ind w:left="2520"/>
        <w:rPr>
          <w:szCs w:val="24"/>
        </w:rPr>
      </w:pPr>
    </w:p>
    <w:p w:rsidR="00D4496C" w:rsidRPr="00D4496C" w:rsidRDefault="00D4496C" w:rsidP="00D4496C">
      <w:pPr>
        <w:pStyle w:val="ListParagraph"/>
        <w:numPr>
          <w:ilvl w:val="0"/>
          <w:numId w:val="29"/>
        </w:numPr>
        <w:tabs>
          <w:tab w:val="left" w:pos="1800"/>
        </w:tabs>
        <w:rPr>
          <w:szCs w:val="24"/>
        </w:rPr>
      </w:pPr>
      <w:r w:rsidRPr="00D4496C">
        <w:rPr>
          <w:szCs w:val="24"/>
        </w:rPr>
        <w:lastRenderedPageBreak/>
        <w:t>Dispute Resolution over Jurisdiction – JCC Attempts to Assume Jurisdiction of Overutilization Determination.</w:t>
      </w:r>
    </w:p>
    <w:p w:rsidR="00D4496C" w:rsidRDefault="00D4496C" w:rsidP="00D4496C">
      <w:pPr>
        <w:tabs>
          <w:tab w:val="left" w:pos="-1440"/>
        </w:tabs>
        <w:ind w:left="1800" w:hanging="360"/>
        <w:jc w:val="both"/>
      </w:pPr>
      <w:r>
        <w:tab/>
        <w:t>a.</w:t>
      </w:r>
      <w:r>
        <w:tab/>
      </w:r>
      <w:r w:rsidRPr="00D4496C">
        <w:t>Motion to Dismiss for Lack of Subject</w:t>
      </w:r>
      <w:r>
        <w:t xml:space="preserve"> Matter Jurisdiction </w:t>
      </w:r>
    </w:p>
    <w:p w:rsidR="00D4496C" w:rsidRDefault="00D4496C" w:rsidP="00D4496C">
      <w:pPr>
        <w:tabs>
          <w:tab w:val="left" w:pos="-1440"/>
        </w:tabs>
        <w:ind w:left="1800" w:hanging="720"/>
        <w:jc w:val="both"/>
      </w:pPr>
      <w:r>
        <w:tab/>
        <w:t>b.</w:t>
      </w:r>
      <w:r>
        <w:tab/>
        <w:t>Appeal</w:t>
      </w:r>
    </w:p>
    <w:p w:rsidR="00D4496C" w:rsidRDefault="00D4496C" w:rsidP="00D4496C">
      <w:pPr>
        <w:tabs>
          <w:tab w:val="left" w:pos="-1440"/>
        </w:tabs>
        <w:ind w:left="2610" w:hanging="450"/>
        <w:jc w:val="both"/>
        <w:rPr>
          <w:u w:val="single"/>
        </w:rPr>
      </w:pPr>
      <w:r>
        <w:t>1.</w:t>
      </w:r>
      <w:r>
        <w:tab/>
      </w:r>
      <w:r w:rsidRPr="00D4496C">
        <w:t>Interlocutory Appeal</w:t>
      </w:r>
      <w:r>
        <w:t xml:space="preserve"> - Fla. R. App. P. 9.180(b)(1) - Review of non-final orders that adjudicate jurisdiction.  </w:t>
      </w:r>
      <w:r>
        <w:rPr>
          <w:u w:val="single"/>
        </w:rPr>
        <w:t xml:space="preserve">Delgado v. J.C. Concrete, </w:t>
      </w:r>
      <w:r w:rsidRPr="00F44C29">
        <w:t>s</w:t>
      </w:r>
      <w:r>
        <w:t>upra.</w:t>
      </w:r>
    </w:p>
    <w:p w:rsidR="00D4496C" w:rsidRDefault="00D4496C" w:rsidP="00D4496C">
      <w:pPr>
        <w:tabs>
          <w:tab w:val="left" w:pos="-1440"/>
        </w:tabs>
        <w:ind w:left="2610" w:hanging="450"/>
        <w:jc w:val="both"/>
        <w:rPr>
          <w:u w:val="single"/>
        </w:rPr>
      </w:pPr>
      <w:r>
        <w:t>2.</w:t>
      </w:r>
      <w:r>
        <w:tab/>
      </w:r>
      <w:r w:rsidRPr="00D4496C">
        <w:t>Writ of Prohibition</w:t>
      </w:r>
      <w:r>
        <w:t xml:space="preserve"> </w:t>
      </w:r>
      <w:r>
        <w:rPr>
          <w:u w:val="single"/>
        </w:rPr>
        <w:t>Lamounette et al Elwyn Akins</w:t>
      </w:r>
      <w:r>
        <w:t xml:space="preserve">, supra; </w:t>
      </w:r>
      <w:r>
        <w:rPr>
          <w:u w:val="single"/>
        </w:rPr>
        <w:t>Atlantic Foundation v. Gurlacz</w:t>
      </w:r>
    </w:p>
    <w:p w:rsidR="00D4496C" w:rsidRPr="00D4496C" w:rsidRDefault="00D4496C" w:rsidP="00D4496C">
      <w:pPr>
        <w:tabs>
          <w:tab w:val="left" w:pos="-1440"/>
        </w:tabs>
        <w:ind w:left="2610" w:hanging="450"/>
        <w:jc w:val="both"/>
      </w:pPr>
      <w:r>
        <w:t>3.</w:t>
      </w:r>
      <w:r>
        <w:tab/>
      </w:r>
      <w:r w:rsidRPr="00D4496C">
        <w:t>Division of Workers’ Compensation fails to timely decide overutilization issue</w:t>
      </w:r>
    </w:p>
    <w:p w:rsidR="00D4496C" w:rsidRDefault="00D4496C" w:rsidP="00D4496C">
      <w:pPr>
        <w:tabs>
          <w:tab w:val="left" w:pos="-1440"/>
        </w:tabs>
        <w:ind w:left="2970" w:hanging="360"/>
        <w:jc w:val="both"/>
      </w:pPr>
      <w:r>
        <w:t>a.</w:t>
      </w:r>
      <w:r>
        <w:tab/>
        <w:t xml:space="preserve">Writ of Mandamus - </w:t>
      </w:r>
      <w:r>
        <w:rPr>
          <w:u w:val="single"/>
        </w:rPr>
        <w:t>City of Hollywood v. Benoit</w:t>
      </w:r>
      <w:r>
        <w:t xml:space="preserve"> 830 So. 2d 254 (Fla. 1</w:t>
      </w:r>
      <w:r>
        <w:rPr>
          <w:vertAlign w:val="superscript"/>
        </w:rPr>
        <w:t>st</w:t>
      </w:r>
      <w:r>
        <w:t xml:space="preserve"> DCA 2002)</w:t>
      </w:r>
    </w:p>
    <w:p w:rsidR="00E03F22" w:rsidRPr="00E03F22" w:rsidRDefault="00D4496C" w:rsidP="00A32759">
      <w:pPr>
        <w:tabs>
          <w:tab w:val="left" w:pos="-1440"/>
        </w:tabs>
        <w:ind w:left="2610" w:hanging="450"/>
        <w:jc w:val="both"/>
        <w:rPr>
          <w:szCs w:val="24"/>
        </w:rPr>
      </w:pPr>
      <w:r>
        <w:t>4.</w:t>
      </w:r>
      <w:r>
        <w:tab/>
      </w:r>
      <w:r w:rsidRPr="00D4496C">
        <w:t>Request for Administrative Hearing</w:t>
      </w:r>
      <w:r>
        <w:t xml:space="preserve"> §120.57, Florida Statutes - see above.</w:t>
      </w:r>
      <w:r w:rsidR="005457FF">
        <w:rPr>
          <w:szCs w:val="24"/>
        </w:rPr>
        <w:tab/>
      </w:r>
      <w:r w:rsidR="005457FF">
        <w:rPr>
          <w:szCs w:val="24"/>
        </w:rPr>
        <w:tab/>
      </w:r>
    </w:p>
    <w:sectPr w:rsidR="00E03F22" w:rsidRPr="00E03F22" w:rsidSect="00AC2A1A">
      <w:headerReference w:type="even" r:id="rId8"/>
      <w:headerReference w:type="default" r:id="rId9"/>
      <w:footerReference w:type="even" r:id="rId10"/>
      <w:footerReference w:type="default" r:id="rId11"/>
      <w:pgSz w:w="12240" w:h="15840"/>
      <w:pgMar w:top="1440" w:right="1440" w:bottom="1152" w:left="1440" w:header="14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6E" w:rsidRDefault="0002366E">
      <w:r>
        <w:separator/>
      </w:r>
    </w:p>
  </w:endnote>
  <w:endnote w:type="continuationSeparator" w:id="0">
    <w:p w:rsidR="0002366E" w:rsidRDefault="0002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7" w:rsidRDefault="007B4447">
    <w:pPr>
      <w:widowControl w:val="0"/>
      <w:tabs>
        <w:tab w:val="left" w:pos="720"/>
        <w:tab w:val="left" w:pos="1584"/>
        <w:tab w:val="left" w:pos="5040"/>
        <w:tab w:val="left" w:pos="5760"/>
        <w:tab w:val="left" w:pos="8496"/>
      </w:tabs>
    </w:pPr>
    <w:r>
      <w:t>____________________________________</w:t>
    </w:r>
  </w:p>
  <w:p w:rsidR="007B4447" w:rsidRDefault="007B4447">
    <w:pPr>
      <w:widowControl w:val="0"/>
      <w:tabs>
        <w:tab w:val="left" w:pos="720"/>
        <w:tab w:val="left" w:pos="1584"/>
        <w:tab w:val="left" w:pos="5040"/>
        <w:tab w:val="left" w:pos="5760"/>
        <w:tab w:val="left" w:pos="8496"/>
      </w:tabs>
      <w:spacing w:line="0" w:lineRule="atLeast"/>
    </w:pPr>
    <w:r>
      <w:t xml:space="preserve">OJCC Case #:  </w:t>
    </w:r>
    <w:r>
      <w:rPr>
        <w:noProof/>
      </w:rPr>
      <w:fldChar w:fldCharType="begin"/>
    </w:r>
    <w:r>
      <w:rPr>
        <w:noProof/>
      </w:rPr>
      <w:instrText xml:space="preserve"> MERGEFIELD Court_court_case_no </w:instrText>
    </w:r>
    <w:r>
      <w:rPr>
        <w:noProof/>
      </w:rPr>
      <w:fldChar w:fldCharType="separate"/>
    </w:r>
    <w:r w:rsidR="00F41A93">
      <w:rPr>
        <w:noProof/>
      </w:rPr>
      <w:t>«Court_court_case_no»</w:t>
    </w:r>
    <w:r>
      <w:rPr>
        <w:noProof/>
      </w:rPr>
      <w:fldChar w:fldCharType="end"/>
    </w:r>
  </w:p>
  <w:p w:rsidR="007B4447" w:rsidRDefault="007B4447">
    <w:pPr>
      <w:widowControl w:val="0"/>
      <w:tabs>
        <w:tab w:val="left" w:pos="720"/>
        <w:tab w:val="left" w:pos="1584"/>
        <w:tab w:val="left" w:pos="5040"/>
        <w:tab w:val="left" w:pos="5760"/>
        <w:tab w:val="left" w:pos="8496"/>
      </w:tabs>
    </w:pPr>
    <w:r>
      <w:t xml:space="preserve">Page </w:t>
    </w:r>
    <w:r>
      <w:pgNum/>
    </w:r>
    <w:r>
      <w:t xml:space="preserve"> of </w:t>
    </w:r>
    <w:r>
      <w:rPr>
        <w:noProof/>
      </w:rPr>
      <w:fldChar w:fldCharType="begin"/>
    </w:r>
    <w:r>
      <w:rPr>
        <w:noProof/>
      </w:rPr>
      <w:instrText xml:space="preserve"> NUMPAGES \* arabic \* MERGEFORMAT </w:instrText>
    </w:r>
    <w:r>
      <w:rPr>
        <w:noProof/>
      </w:rPr>
      <w:fldChar w:fldCharType="separate"/>
    </w:r>
    <w:r w:rsidR="00F41A93">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7" w:rsidRPr="00A332F2" w:rsidRDefault="007B4447" w:rsidP="003B08E1">
    <w:pPr>
      <w:pStyle w:val="Footer"/>
      <w:jc w:val="center"/>
    </w:pPr>
    <w:r w:rsidRPr="00A332F2">
      <w:t xml:space="preserve">Page </w:t>
    </w:r>
    <w:r w:rsidRPr="00A332F2">
      <w:fldChar w:fldCharType="begin"/>
    </w:r>
    <w:r w:rsidRPr="00A332F2">
      <w:instrText xml:space="preserve"> PAGE  \* Arabic  \* MERGEFORMAT </w:instrText>
    </w:r>
    <w:r w:rsidRPr="00A332F2">
      <w:fldChar w:fldCharType="separate"/>
    </w:r>
    <w:r w:rsidR="00E90B7B">
      <w:rPr>
        <w:noProof/>
      </w:rPr>
      <w:t>2</w:t>
    </w:r>
    <w:r w:rsidRPr="00A332F2">
      <w:fldChar w:fldCharType="end"/>
    </w:r>
    <w:r w:rsidRPr="00A332F2">
      <w:t xml:space="preserve"> of </w:t>
    </w:r>
    <w:r>
      <w:rPr>
        <w:noProof/>
      </w:rPr>
      <w:fldChar w:fldCharType="begin"/>
    </w:r>
    <w:r>
      <w:rPr>
        <w:noProof/>
      </w:rPr>
      <w:instrText xml:space="preserve"> NUMPAGES  \* Arabic  \* MERGEFORMAT </w:instrText>
    </w:r>
    <w:r>
      <w:rPr>
        <w:noProof/>
      </w:rPr>
      <w:fldChar w:fldCharType="separate"/>
    </w:r>
    <w:r w:rsidR="00E90B7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6E" w:rsidRDefault="0002366E">
      <w:r>
        <w:separator/>
      </w:r>
    </w:p>
  </w:footnote>
  <w:footnote w:type="continuationSeparator" w:id="0">
    <w:p w:rsidR="0002366E" w:rsidRDefault="0002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7" w:rsidRDefault="007B4447">
    <w:pPr>
      <w:widowControl w:val="0"/>
      <w:tabs>
        <w:tab w:val="left" w:pos="720"/>
        <w:tab w:val="left" w:pos="1584"/>
        <w:tab w:val="left" w:pos="5040"/>
        <w:tab w:val="left" w:pos="5760"/>
        <w:tab w:val="left" w:pos="849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7" w:rsidRDefault="007B4447">
    <w:pPr>
      <w:widowControl w:val="0"/>
      <w:tabs>
        <w:tab w:val="left" w:pos="720"/>
        <w:tab w:val="left" w:pos="1584"/>
        <w:tab w:val="left" w:pos="5040"/>
        <w:tab w:val="left" w:pos="5760"/>
        <w:tab w:val="left" w:pos="84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D8"/>
    <w:multiLevelType w:val="hybridMultilevel"/>
    <w:tmpl w:val="845AD52A"/>
    <w:lvl w:ilvl="0" w:tplc="60260184">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2976D8"/>
    <w:multiLevelType w:val="hybridMultilevel"/>
    <w:tmpl w:val="AE462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2CBF"/>
    <w:multiLevelType w:val="hybridMultilevel"/>
    <w:tmpl w:val="36AA88A6"/>
    <w:lvl w:ilvl="0" w:tplc="3D509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84E6D"/>
    <w:multiLevelType w:val="hybridMultilevel"/>
    <w:tmpl w:val="1E027D42"/>
    <w:lvl w:ilvl="0" w:tplc="E2E88F74">
      <w:start w:val="1"/>
      <w:numFmt w:val="lowerLetter"/>
      <w:lvlText w:val="%1."/>
      <w:lvlJc w:val="left"/>
      <w:pPr>
        <w:ind w:left="216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6145B5"/>
    <w:multiLevelType w:val="hybridMultilevel"/>
    <w:tmpl w:val="2C622F44"/>
    <w:lvl w:ilvl="0" w:tplc="00DC5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B77CF"/>
    <w:multiLevelType w:val="hybridMultilevel"/>
    <w:tmpl w:val="0A7A5B5E"/>
    <w:lvl w:ilvl="0" w:tplc="7B9A58F8">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0A197B"/>
    <w:multiLevelType w:val="hybridMultilevel"/>
    <w:tmpl w:val="BFE89E0C"/>
    <w:lvl w:ilvl="0" w:tplc="A392B54E">
      <w:start w:val="1"/>
      <w:numFmt w:val="upperRoman"/>
      <w:lvlText w:val="%1."/>
      <w:lvlJc w:val="left"/>
      <w:pPr>
        <w:ind w:left="1080" w:hanging="72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11C6D"/>
    <w:multiLevelType w:val="hybridMultilevel"/>
    <w:tmpl w:val="E9B8F574"/>
    <w:lvl w:ilvl="0" w:tplc="B98E06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507157"/>
    <w:multiLevelType w:val="hybridMultilevel"/>
    <w:tmpl w:val="DD6C2AF0"/>
    <w:lvl w:ilvl="0" w:tplc="D15AFC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36338BD"/>
    <w:multiLevelType w:val="hybridMultilevel"/>
    <w:tmpl w:val="CF9899EC"/>
    <w:lvl w:ilvl="0" w:tplc="6DD617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6636AE"/>
    <w:multiLevelType w:val="hybridMultilevel"/>
    <w:tmpl w:val="B5C8572E"/>
    <w:lvl w:ilvl="0" w:tplc="2730D39C">
      <w:start w:val="1"/>
      <w:numFmt w:val="lowerLetter"/>
      <w:lvlText w:val="%1)"/>
      <w:lvlJc w:val="left"/>
      <w:pPr>
        <w:ind w:left="243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23827AA9"/>
    <w:multiLevelType w:val="hybridMultilevel"/>
    <w:tmpl w:val="6024CF0C"/>
    <w:lvl w:ilvl="0" w:tplc="37D08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0D6690"/>
    <w:multiLevelType w:val="hybridMultilevel"/>
    <w:tmpl w:val="D168FEAE"/>
    <w:lvl w:ilvl="0" w:tplc="CACA5D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B0058AE"/>
    <w:multiLevelType w:val="hybridMultilevel"/>
    <w:tmpl w:val="2994749E"/>
    <w:lvl w:ilvl="0" w:tplc="32FC7508">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8733A"/>
    <w:multiLevelType w:val="hybridMultilevel"/>
    <w:tmpl w:val="AEE41406"/>
    <w:lvl w:ilvl="0" w:tplc="96DAAB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4F64E7"/>
    <w:multiLevelType w:val="hybridMultilevel"/>
    <w:tmpl w:val="4036B8AE"/>
    <w:lvl w:ilvl="0" w:tplc="47AABF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2D126CE"/>
    <w:multiLevelType w:val="hybridMultilevel"/>
    <w:tmpl w:val="7B2EF780"/>
    <w:lvl w:ilvl="0" w:tplc="D29C4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4C27D0E"/>
    <w:multiLevelType w:val="hybridMultilevel"/>
    <w:tmpl w:val="91CCDB8C"/>
    <w:lvl w:ilvl="0" w:tplc="AABA3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526CFD"/>
    <w:multiLevelType w:val="hybridMultilevel"/>
    <w:tmpl w:val="684818CC"/>
    <w:lvl w:ilvl="0" w:tplc="AD5637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9A45ED9"/>
    <w:multiLevelType w:val="hybridMultilevel"/>
    <w:tmpl w:val="DED8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D5DF8"/>
    <w:multiLevelType w:val="hybridMultilevel"/>
    <w:tmpl w:val="C2305538"/>
    <w:lvl w:ilvl="0" w:tplc="B762DA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708B1"/>
    <w:multiLevelType w:val="hybridMultilevel"/>
    <w:tmpl w:val="A3EE5544"/>
    <w:lvl w:ilvl="0" w:tplc="A3B2540C">
      <w:start w:val="1"/>
      <w:numFmt w:val="decimal"/>
      <w:lvlText w:val="%1."/>
      <w:lvlJc w:val="left"/>
      <w:pPr>
        <w:ind w:left="207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50476C"/>
    <w:multiLevelType w:val="hybridMultilevel"/>
    <w:tmpl w:val="65807664"/>
    <w:lvl w:ilvl="0" w:tplc="B7D4E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D91E3C"/>
    <w:multiLevelType w:val="hybridMultilevel"/>
    <w:tmpl w:val="9E0814E4"/>
    <w:lvl w:ilvl="0" w:tplc="65A26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E1533D"/>
    <w:multiLevelType w:val="hybridMultilevel"/>
    <w:tmpl w:val="3EA21FA6"/>
    <w:lvl w:ilvl="0" w:tplc="870A2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C5C03A9"/>
    <w:multiLevelType w:val="hybridMultilevel"/>
    <w:tmpl w:val="ADA636EE"/>
    <w:lvl w:ilvl="0" w:tplc="E7EE3D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164AC2"/>
    <w:multiLevelType w:val="hybridMultilevel"/>
    <w:tmpl w:val="5FF6C020"/>
    <w:lvl w:ilvl="0" w:tplc="BB449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CF01A7"/>
    <w:multiLevelType w:val="hybridMultilevel"/>
    <w:tmpl w:val="149E4CD0"/>
    <w:lvl w:ilvl="0" w:tplc="75466B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F5F05D8"/>
    <w:multiLevelType w:val="hybridMultilevel"/>
    <w:tmpl w:val="8BA49F68"/>
    <w:lvl w:ilvl="0" w:tplc="61F2F1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32524A"/>
    <w:multiLevelType w:val="hybridMultilevel"/>
    <w:tmpl w:val="C7F0DD0A"/>
    <w:lvl w:ilvl="0" w:tplc="47AABF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73D62D1"/>
    <w:multiLevelType w:val="hybridMultilevel"/>
    <w:tmpl w:val="27FAEEF4"/>
    <w:lvl w:ilvl="0" w:tplc="3E2806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C66D69"/>
    <w:multiLevelType w:val="hybridMultilevel"/>
    <w:tmpl w:val="0E96FCD2"/>
    <w:lvl w:ilvl="0" w:tplc="10E467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DA057BF"/>
    <w:multiLevelType w:val="hybridMultilevel"/>
    <w:tmpl w:val="36D2A222"/>
    <w:lvl w:ilvl="0" w:tplc="8856B3C4">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87E75"/>
    <w:multiLevelType w:val="hybridMultilevel"/>
    <w:tmpl w:val="DC1EE91E"/>
    <w:lvl w:ilvl="0" w:tplc="049E61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15E6DCB"/>
    <w:multiLevelType w:val="hybridMultilevel"/>
    <w:tmpl w:val="1F2C2B28"/>
    <w:lvl w:ilvl="0" w:tplc="F27C205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2F3EE7"/>
    <w:multiLevelType w:val="hybridMultilevel"/>
    <w:tmpl w:val="8D00C9B2"/>
    <w:lvl w:ilvl="0" w:tplc="EF9257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4F7037E"/>
    <w:multiLevelType w:val="hybridMultilevel"/>
    <w:tmpl w:val="9C68CB92"/>
    <w:lvl w:ilvl="0" w:tplc="6840C6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6154B9D"/>
    <w:multiLevelType w:val="hybridMultilevel"/>
    <w:tmpl w:val="3C2E3F0A"/>
    <w:lvl w:ilvl="0" w:tplc="B5949BA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3B78B1"/>
    <w:multiLevelType w:val="hybridMultilevel"/>
    <w:tmpl w:val="79BCA40C"/>
    <w:lvl w:ilvl="0" w:tplc="3DDECDE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7D6E33A0"/>
    <w:multiLevelType w:val="hybridMultilevel"/>
    <w:tmpl w:val="8C7636A6"/>
    <w:lvl w:ilvl="0" w:tplc="13CCEF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50126B"/>
    <w:multiLevelType w:val="hybridMultilevel"/>
    <w:tmpl w:val="ECCCEB64"/>
    <w:lvl w:ilvl="0" w:tplc="6DD05B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17"/>
  </w:num>
  <w:num w:numId="4">
    <w:abstractNumId w:val="39"/>
  </w:num>
  <w:num w:numId="5">
    <w:abstractNumId w:val="20"/>
  </w:num>
  <w:num w:numId="6">
    <w:abstractNumId w:val="25"/>
  </w:num>
  <w:num w:numId="7">
    <w:abstractNumId w:val="14"/>
  </w:num>
  <w:num w:numId="8">
    <w:abstractNumId w:val="32"/>
  </w:num>
  <w:num w:numId="9">
    <w:abstractNumId w:val="40"/>
  </w:num>
  <w:num w:numId="10">
    <w:abstractNumId w:val="2"/>
  </w:num>
  <w:num w:numId="11">
    <w:abstractNumId w:val="11"/>
  </w:num>
  <w:num w:numId="12">
    <w:abstractNumId w:val="4"/>
  </w:num>
  <w:num w:numId="13">
    <w:abstractNumId w:val="28"/>
  </w:num>
  <w:num w:numId="14">
    <w:abstractNumId w:val="26"/>
  </w:num>
  <w:num w:numId="15">
    <w:abstractNumId w:val="8"/>
  </w:num>
  <w:num w:numId="16">
    <w:abstractNumId w:val="7"/>
  </w:num>
  <w:num w:numId="17">
    <w:abstractNumId w:val="22"/>
  </w:num>
  <w:num w:numId="18">
    <w:abstractNumId w:val="24"/>
  </w:num>
  <w:num w:numId="19">
    <w:abstractNumId w:val="5"/>
  </w:num>
  <w:num w:numId="20">
    <w:abstractNumId w:val="31"/>
  </w:num>
  <w:num w:numId="21">
    <w:abstractNumId w:val="38"/>
  </w:num>
  <w:num w:numId="22">
    <w:abstractNumId w:val="33"/>
  </w:num>
  <w:num w:numId="23">
    <w:abstractNumId w:val="37"/>
  </w:num>
  <w:num w:numId="24">
    <w:abstractNumId w:val="34"/>
  </w:num>
  <w:num w:numId="25">
    <w:abstractNumId w:val="19"/>
  </w:num>
  <w:num w:numId="26">
    <w:abstractNumId w:val="35"/>
  </w:num>
  <w:num w:numId="27">
    <w:abstractNumId w:val="23"/>
  </w:num>
  <w:num w:numId="28">
    <w:abstractNumId w:val="9"/>
  </w:num>
  <w:num w:numId="29">
    <w:abstractNumId w:val="30"/>
  </w:num>
  <w:num w:numId="30">
    <w:abstractNumId w:val="16"/>
  </w:num>
  <w:num w:numId="31">
    <w:abstractNumId w:val="18"/>
  </w:num>
  <w:num w:numId="32">
    <w:abstractNumId w:val="21"/>
  </w:num>
  <w:num w:numId="33">
    <w:abstractNumId w:val="15"/>
  </w:num>
  <w:num w:numId="34">
    <w:abstractNumId w:val="36"/>
  </w:num>
  <w:num w:numId="35">
    <w:abstractNumId w:val="0"/>
  </w:num>
  <w:num w:numId="36">
    <w:abstractNumId w:val="29"/>
  </w:num>
  <w:num w:numId="37">
    <w:abstractNumId w:val="13"/>
  </w:num>
  <w:num w:numId="38">
    <w:abstractNumId w:val="12"/>
  </w:num>
  <w:num w:numId="39">
    <w:abstractNumId w:val="3"/>
  </w:num>
  <w:num w:numId="40">
    <w:abstractNumId w:val="2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D02558-4C2D-445F-A2E6-C8C84D7404DD}"/>
    <w:docVar w:name="dgnword-eventsink" w:val="443181168"/>
  </w:docVars>
  <w:rsids>
    <w:rsidRoot w:val="00747B3B"/>
    <w:rsid w:val="0002256C"/>
    <w:rsid w:val="0002366E"/>
    <w:rsid w:val="0002712F"/>
    <w:rsid w:val="0004769C"/>
    <w:rsid w:val="00073DFA"/>
    <w:rsid w:val="000B0918"/>
    <w:rsid w:val="000D401C"/>
    <w:rsid w:val="000F0EEE"/>
    <w:rsid w:val="00165101"/>
    <w:rsid w:val="001760B3"/>
    <w:rsid w:val="001866FA"/>
    <w:rsid w:val="001868FD"/>
    <w:rsid w:val="001905C9"/>
    <w:rsid w:val="00192D6C"/>
    <w:rsid w:val="00193F81"/>
    <w:rsid w:val="0019540B"/>
    <w:rsid w:val="001A40B5"/>
    <w:rsid w:val="001B420D"/>
    <w:rsid w:val="001C13D6"/>
    <w:rsid w:val="001D4C3E"/>
    <w:rsid w:val="0020216B"/>
    <w:rsid w:val="00234935"/>
    <w:rsid w:val="00256411"/>
    <w:rsid w:val="00281AC1"/>
    <w:rsid w:val="00295670"/>
    <w:rsid w:val="00296B2D"/>
    <w:rsid w:val="002C2AC4"/>
    <w:rsid w:val="002C6A3E"/>
    <w:rsid w:val="002D7641"/>
    <w:rsid w:val="00352CFF"/>
    <w:rsid w:val="00374C52"/>
    <w:rsid w:val="003A2703"/>
    <w:rsid w:val="003A51D2"/>
    <w:rsid w:val="003B08E1"/>
    <w:rsid w:val="003C4B48"/>
    <w:rsid w:val="003C56D0"/>
    <w:rsid w:val="003E4F8D"/>
    <w:rsid w:val="003F1851"/>
    <w:rsid w:val="004045F8"/>
    <w:rsid w:val="00404C33"/>
    <w:rsid w:val="00413A39"/>
    <w:rsid w:val="004308B8"/>
    <w:rsid w:val="004554E1"/>
    <w:rsid w:val="00481C9A"/>
    <w:rsid w:val="00481DF2"/>
    <w:rsid w:val="00481E21"/>
    <w:rsid w:val="004A637C"/>
    <w:rsid w:val="004B7BC8"/>
    <w:rsid w:val="004C4035"/>
    <w:rsid w:val="004C5F3D"/>
    <w:rsid w:val="004D1787"/>
    <w:rsid w:val="00500E2C"/>
    <w:rsid w:val="0050162A"/>
    <w:rsid w:val="005063A4"/>
    <w:rsid w:val="00526E12"/>
    <w:rsid w:val="005408FD"/>
    <w:rsid w:val="005457FF"/>
    <w:rsid w:val="00562363"/>
    <w:rsid w:val="00574E23"/>
    <w:rsid w:val="005A00B2"/>
    <w:rsid w:val="005A514D"/>
    <w:rsid w:val="005B6A82"/>
    <w:rsid w:val="00623163"/>
    <w:rsid w:val="006279D9"/>
    <w:rsid w:val="00651311"/>
    <w:rsid w:val="0067224F"/>
    <w:rsid w:val="006A62A8"/>
    <w:rsid w:val="006B1212"/>
    <w:rsid w:val="006B4650"/>
    <w:rsid w:val="006C11DC"/>
    <w:rsid w:val="006D04D6"/>
    <w:rsid w:val="006E4F72"/>
    <w:rsid w:val="006F18E9"/>
    <w:rsid w:val="00726F2F"/>
    <w:rsid w:val="00727373"/>
    <w:rsid w:val="0073037B"/>
    <w:rsid w:val="00737EEC"/>
    <w:rsid w:val="00747B3B"/>
    <w:rsid w:val="00753832"/>
    <w:rsid w:val="00770368"/>
    <w:rsid w:val="0079516B"/>
    <w:rsid w:val="007B3473"/>
    <w:rsid w:val="007B4447"/>
    <w:rsid w:val="007C0155"/>
    <w:rsid w:val="00813C4E"/>
    <w:rsid w:val="0081511D"/>
    <w:rsid w:val="00826C75"/>
    <w:rsid w:val="0084715C"/>
    <w:rsid w:val="00864016"/>
    <w:rsid w:val="00871FFD"/>
    <w:rsid w:val="00895468"/>
    <w:rsid w:val="008B1C93"/>
    <w:rsid w:val="008B6087"/>
    <w:rsid w:val="008C0F88"/>
    <w:rsid w:val="008C1C1F"/>
    <w:rsid w:val="008D3490"/>
    <w:rsid w:val="008F3855"/>
    <w:rsid w:val="00902385"/>
    <w:rsid w:val="00917C45"/>
    <w:rsid w:val="00941323"/>
    <w:rsid w:val="009548E3"/>
    <w:rsid w:val="00955AF4"/>
    <w:rsid w:val="00984FEF"/>
    <w:rsid w:val="00994524"/>
    <w:rsid w:val="009B063F"/>
    <w:rsid w:val="009B52FC"/>
    <w:rsid w:val="009D7277"/>
    <w:rsid w:val="009F503F"/>
    <w:rsid w:val="00A00365"/>
    <w:rsid w:val="00A0750B"/>
    <w:rsid w:val="00A07860"/>
    <w:rsid w:val="00A13344"/>
    <w:rsid w:val="00A30227"/>
    <w:rsid w:val="00A32759"/>
    <w:rsid w:val="00A332F2"/>
    <w:rsid w:val="00A503E1"/>
    <w:rsid w:val="00A70450"/>
    <w:rsid w:val="00AB5C68"/>
    <w:rsid w:val="00AC00CB"/>
    <w:rsid w:val="00AC2A1A"/>
    <w:rsid w:val="00AE5B6C"/>
    <w:rsid w:val="00AF4966"/>
    <w:rsid w:val="00B015A6"/>
    <w:rsid w:val="00B21BD6"/>
    <w:rsid w:val="00B230A6"/>
    <w:rsid w:val="00B30881"/>
    <w:rsid w:val="00B321C5"/>
    <w:rsid w:val="00B334C1"/>
    <w:rsid w:val="00B41FE7"/>
    <w:rsid w:val="00B54894"/>
    <w:rsid w:val="00B87B6E"/>
    <w:rsid w:val="00B94E8B"/>
    <w:rsid w:val="00B969AC"/>
    <w:rsid w:val="00BA2B97"/>
    <w:rsid w:val="00BF4D43"/>
    <w:rsid w:val="00C001E7"/>
    <w:rsid w:val="00C0022E"/>
    <w:rsid w:val="00C5251E"/>
    <w:rsid w:val="00C53504"/>
    <w:rsid w:val="00C63DA8"/>
    <w:rsid w:val="00C75AFC"/>
    <w:rsid w:val="00CB4684"/>
    <w:rsid w:val="00CC5A44"/>
    <w:rsid w:val="00D00BE6"/>
    <w:rsid w:val="00D31957"/>
    <w:rsid w:val="00D4303F"/>
    <w:rsid w:val="00D4405C"/>
    <w:rsid w:val="00D4496C"/>
    <w:rsid w:val="00D5231A"/>
    <w:rsid w:val="00D5404E"/>
    <w:rsid w:val="00D758F7"/>
    <w:rsid w:val="00D91C52"/>
    <w:rsid w:val="00D9310C"/>
    <w:rsid w:val="00DA5BE1"/>
    <w:rsid w:val="00DC034F"/>
    <w:rsid w:val="00DF499C"/>
    <w:rsid w:val="00E03F22"/>
    <w:rsid w:val="00E051CC"/>
    <w:rsid w:val="00E27C09"/>
    <w:rsid w:val="00E34D9B"/>
    <w:rsid w:val="00E8453E"/>
    <w:rsid w:val="00E90B7B"/>
    <w:rsid w:val="00E93833"/>
    <w:rsid w:val="00E9695B"/>
    <w:rsid w:val="00EB7CDE"/>
    <w:rsid w:val="00EC45F8"/>
    <w:rsid w:val="00EF4A49"/>
    <w:rsid w:val="00EF6391"/>
    <w:rsid w:val="00EF6A68"/>
    <w:rsid w:val="00F03EF5"/>
    <w:rsid w:val="00F41A93"/>
    <w:rsid w:val="00F44C29"/>
    <w:rsid w:val="00F91032"/>
    <w:rsid w:val="00FB3263"/>
    <w:rsid w:val="00FC29ED"/>
    <w:rsid w:val="00FD16B1"/>
    <w:rsid w:val="00FD6CEA"/>
    <w:rsid w:val="00FE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BAEE55-B3DD-45AA-BFE9-B8C11579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23"/>
    <w:pPr>
      <w:tabs>
        <w:tab w:val="center" w:pos="4680"/>
        <w:tab w:val="right" w:pos="9360"/>
      </w:tabs>
    </w:pPr>
  </w:style>
  <w:style w:type="character" w:customStyle="1" w:styleId="HeaderChar">
    <w:name w:val="Header Char"/>
    <w:basedOn w:val="DefaultParagraphFont"/>
    <w:link w:val="Header"/>
    <w:uiPriority w:val="99"/>
    <w:rsid w:val="00941323"/>
    <w:rPr>
      <w:sz w:val="24"/>
    </w:rPr>
  </w:style>
  <w:style w:type="paragraph" w:styleId="Footer">
    <w:name w:val="footer"/>
    <w:basedOn w:val="Normal"/>
    <w:link w:val="FooterChar"/>
    <w:uiPriority w:val="99"/>
    <w:unhideWhenUsed/>
    <w:rsid w:val="00941323"/>
    <w:pPr>
      <w:tabs>
        <w:tab w:val="center" w:pos="4680"/>
        <w:tab w:val="right" w:pos="9360"/>
      </w:tabs>
    </w:pPr>
  </w:style>
  <w:style w:type="character" w:customStyle="1" w:styleId="FooterChar">
    <w:name w:val="Footer Char"/>
    <w:basedOn w:val="DefaultParagraphFont"/>
    <w:link w:val="Footer"/>
    <w:uiPriority w:val="99"/>
    <w:rsid w:val="00941323"/>
    <w:rPr>
      <w:sz w:val="24"/>
    </w:rPr>
  </w:style>
  <w:style w:type="paragraph" w:styleId="BalloonText">
    <w:name w:val="Balloon Text"/>
    <w:basedOn w:val="Normal"/>
    <w:link w:val="BalloonTextChar"/>
    <w:uiPriority w:val="99"/>
    <w:semiHidden/>
    <w:unhideWhenUsed/>
    <w:rsid w:val="00726F2F"/>
    <w:rPr>
      <w:rFonts w:ascii="Tahoma" w:hAnsi="Tahoma" w:cs="Tahoma"/>
      <w:sz w:val="16"/>
      <w:szCs w:val="16"/>
    </w:rPr>
  </w:style>
  <w:style w:type="character" w:customStyle="1" w:styleId="BalloonTextChar">
    <w:name w:val="Balloon Text Char"/>
    <w:basedOn w:val="DefaultParagraphFont"/>
    <w:link w:val="BalloonText"/>
    <w:uiPriority w:val="99"/>
    <w:semiHidden/>
    <w:rsid w:val="00726F2F"/>
    <w:rPr>
      <w:rFonts w:ascii="Tahoma" w:hAnsi="Tahoma" w:cs="Tahoma"/>
      <w:sz w:val="16"/>
      <w:szCs w:val="16"/>
    </w:rPr>
  </w:style>
  <w:style w:type="table" w:styleId="TableGrid">
    <w:name w:val="Table Grid"/>
    <w:basedOn w:val="TableNormal"/>
    <w:uiPriority w:val="59"/>
    <w:rsid w:val="00A50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135">
      <w:bodyDiv w:val="1"/>
      <w:marLeft w:val="0"/>
      <w:marRight w:val="0"/>
      <w:marTop w:val="0"/>
      <w:marBottom w:val="0"/>
      <w:divBdr>
        <w:top w:val="none" w:sz="0" w:space="0" w:color="auto"/>
        <w:left w:val="none" w:sz="0" w:space="0" w:color="auto"/>
        <w:bottom w:val="none" w:sz="0" w:space="0" w:color="auto"/>
        <w:right w:val="none" w:sz="0" w:space="0" w:color="auto"/>
      </w:divBdr>
    </w:div>
    <w:div w:id="726755991">
      <w:bodyDiv w:val="1"/>
      <w:marLeft w:val="0"/>
      <w:marRight w:val="0"/>
      <w:marTop w:val="0"/>
      <w:marBottom w:val="0"/>
      <w:divBdr>
        <w:top w:val="none" w:sz="0" w:space="0" w:color="auto"/>
        <w:left w:val="none" w:sz="0" w:space="0" w:color="auto"/>
        <w:bottom w:val="none" w:sz="0" w:space="0" w:color="auto"/>
        <w:right w:val="none" w:sz="0" w:space="0" w:color="auto"/>
      </w:divBdr>
    </w:div>
    <w:div w:id="1073238610">
      <w:bodyDiv w:val="1"/>
      <w:marLeft w:val="0"/>
      <w:marRight w:val="0"/>
      <w:marTop w:val="0"/>
      <w:marBottom w:val="0"/>
      <w:divBdr>
        <w:top w:val="none" w:sz="0" w:space="0" w:color="auto"/>
        <w:left w:val="none" w:sz="0" w:space="0" w:color="auto"/>
        <w:bottom w:val="none" w:sz="0" w:space="0" w:color="auto"/>
        <w:right w:val="none" w:sz="0" w:space="0" w:color="auto"/>
      </w:divBdr>
    </w:div>
    <w:div w:id="1253664480">
      <w:bodyDiv w:val="1"/>
      <w:marLeft w:val="0"/>
      <w:marRight w:val="0"/>
      <w:marTop w:val="0"/>
      <w:marBottom w:val="0"/>
      <w:divBdr>
        <w:top w:val="none" w:sz="0" w:space="0" w:color="auto"/>
        <w:left w:val="none" w:sz="0" w:space="0" w:color="auto"/>
        <w:bottom w:val="none" w:sz="0" w:space="0" w:color="auto"/>
        <w:right w:val="none" w:sz="0" w:space="0" w:color="auto"/>
      </w:divBdr>
    </w:div>
    <w:div w:id="20458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B554-2684-4B7C-B2D2-44F65405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2898</Words>
  <Characters>15818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MDCPW</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lsmyly</dc:creator>
  <cp:lastModifiedBy>Jenna Mills</cp:lastModifiedBy>
  <cp:revision>2</cp:revision>
  <cp:lastPrinted>2021-03-27T13:58:00Z</cp:lastPrinted>
  <dcterms:created xsi:type="dcterms:W3CDTF">2022-11-09T18:55:00Z</dcterms:created>
  <dcterms:modified xsi:type="dcterms:W3CDTF">2022-11-09T18:55:00Z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ies>
</file>